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829" w:rsidRPr="00A61F30" w:rsidRDefault="00E853A1" w:rsidP="004E382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Грачёв И.Д., </w:t>
      </w:r>
      <w:r w:rsidR="004E3829" w:rsidRPr="00495885">
        <w:rPr>
          <w:rFonts w:ascii="Times New Roman" w:hAnsi="Times New Roman" w:cs="Times New Roman"/>
          <w:b/>
          <w:sz w:val="28"/>
          <w:szCs w:val="28"/>
        </w:rPr>
        <w:t>Неволин И.В.</w:t>
      </w:r>
    </w:p>
    <w:bookmarkEnd w:id="0"/>
    <w:p w:rsidR="004E3829" w:rsidRDefault="004E3829" w:rsidP="004E3829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95885">
        <w:rPr>
          <w:rFonts w:ascii="Times New Roman" w:hAnsi="Times New Roman" w:cs="Times New Roman"/>
          <w:i/>
          <w:sz w:val="28"/>
          <w:szCs w:val="28"/>
        </w:rPr>
        <w:t>Москва, ЦЭМИ РАН</w:t>
      </w:r>
    </w:p>
    <w:p w:rsidR="003A44CB" w:rsidRPr="00495885" w:rsidRDefault="003A44CB" w:rsidP="004E3829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4195D" w:rsidRDefault="00CC0CBF" w:rsidP="000574A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4"/>
        </w:rPr>
      </w:pPr>
      <w:r w:rsidRPr="006F07A7">
        <w:rPr>
          <w:rFonts w:ascii="Times New Roman" w:hAnsi="Times New Roman" w:cs="Times New Roman"/>
          <w:b/>
          <w:caps/>
          <w:sz w:val="28"/>
          <w:szCs w:val="24"/>
        </w:rPr>
        <w:t xml:space="preserve">Модель для анализа </w:t>
      </w:r>
      <w:r w:rsidR="006F07A7" w:rsidRPr="006F07A7">
        <w:rPr>
          <w:rFonts w:ascii="Times New Roman" w:hAnsi="Times New Roman" w:cs="Times New Roman"/>
          <w:b/>
          <w:caps/>
          <w:sz w:val="28"/>
          <w:szCs w:val="24"/>
        </w:rPr>
        <w:t>отраслевой динамики</w:t>
      </w:r>
    </w:p>
    <w:p w:rsidR="0025633C" w:rsidRPr="006F07A7" w:rsidRDefault="0025633C" w:rsidP="00E853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4"/>
        </w:rPr>
      </w:pPr>
    </w:p>
    <w:p w:rsidR="00E853A1" w:rsidRDefault="00C345EC" w:rsidP="00F265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Динамика отраслей может прогнозироваться </w:t>
      </w:r>
      <w:r w:rsidR="0025633C">
        <w:rPr>
          <w:rFonts w:ascii="Times New Roman" w:hAnsi="Times New Roman" w:cs="Times New Roman"/>
          <w:sz w:val="28"/>
          <w:szCs w:val="24"/>
        </w:rPr>
        <w:t>как</w:t>
      </w:r>
      <w:r>
        <w:rPr>
          <w:rFonts w:ascii="Times New Roman" w:hAnsi="Times New Roman" w:cs="Times New Roman"/>
          <w:sz w:val="28"/>
          <w:szCs w:val="24"/>
        </w:rPr>
        <w:t xml:space="preserve"> на макро</w:t>
      </w:r>
      <w:r w:rsidR="0025633C">
        <w:rPr>
          <w:rFonts w:ascii="Times New Roman" w:hAnsi="Times New Roman" w:cs="Times New Roman"/>
          <w:sz w:val="28"/>
          <w:szCs w:val="24"/>
        </w:rPr>
        <w:t>, так и на</w:t>
      </w:r>
      <w:r w:rsidR="008D63DF">
        <w:rPr>
          <w:rFonts w:ascii="Times New Roman" w:hAnsi="Times New Roman" w:cs="Times New Roman"/>
          <w:sz w:val="28"/>
          <w:szCs w:val="24"/>
        </w:rPr>
        <w:t xml:space="preserve"> микро уровнях. Причём оба подхода </w:t>
      </w:r>
      <w:r w:rsidR="0025633C">
        <w:rPr>
          <w:rFonts w:ascii="Times New Roman" w:hAnsi="Times New Roman" w:cs="Times New Roman"/>
          <w:sz w:val="28"/>
          <w:szCs w:val="24"/>
        </w:rPr>
        <w:t>приводя</w:t>
      </w:r>
      <w:r w:rsidR="008D63DF">
        <w:rPr>
          <w:rFonts w:ascii="Times New Roman" w:hAnsi="Times New Roman" w:cs="Times New Roman"/>
          <w:sz w:val="28"/>
          <w:szCs w:val="24"/>
        </w:rPr>
        <w:t xml:space="preserve">т к разработке достаточно сложных программных комплексов: примером такого на макро уровне служит разработка </w:t>
      </w:r>
      <w:r w:rsidR="0025633C">
        <w:rPr>
          <w:rFonts w:ascii="Times New Roman" w:hAnsi="Times New Roman" w:cs="Times New Roman"/>
          <w:sz w:val="28"/>
          <w:szCs w:val="24"/>
          <w:lang w:val="en-US"/>
        </w:rPr>
        <w:t>SCANER</w:t>
      </w:r>
      <w:r w:rsidR="0025633C" w:rsidRPr="0025633C">
        <w:rPr>
          <w:rFonts w:ascii="Times New Roman" w:hAnsi="Times New Roman" w:cs="Times New Roman"/>
          <w:sz w:val="28"/>
          <w:szCs w:val="24"/>
        </w:rPr>
        <w:t xml:space="preserve"> </w:t>
      </w:r>
      <w:r w:rsidR="00FC3CF3" w:rsidRPr="00FC3CF3">
        <w:rPr>
          <w:rFonts w:ascii="Times New Roman" w:hAnsi="Times New Roman" w:cs="Times New Roman"/>
          <w:sz w:val="28"/>
          <w:szCs w:val="24"/>
        </w:rPr>
        <w:t>[</w:t>
      </w:r>
      <w:r w:rsidR="00FC3CF3">
        <w:rPr>
          <w:rFonts w:ascii="Times New Roman" w:hAnsi="Times New Roman" w:cs="Times New Roman"/>
          <w:sz w:val="28"/>
          <w:szCs w:val="24"/>
        </w:rPr>
        <w:fldChar w:fldCharType="begin"/>
      </w:r>
      <w:r w:rsidR="00FC3CF3">
        <w:rPr>
          <w:rFonts w:ascii="Times New Roman" w:hAnsi="Times New Roman" w:cs="Times New Roman"/>
          <w:sz w:val="28"/>
          <w:szCs w:val="24"/>
        </w:rPr>
        <w:instrText xml:space="preserve"> REF _Ref48740408 \r \h </w:instrText>
      </w:r>
      <w:r w:rsidR="00FC3CF3">
        <w:rPr>
          <w:rFonts w:ascii="Times New Roman" w:hAnsi="Times New Roman" w:cs="Times New Roman"/>
          <w:sz w:val="28"/>
          <w:szCs w:val="24"/>
        </w:rPr>
      </w:r>
      <w:r w:rsidR="00FC3CF3">
        <w:rPr>
          <w:rFonts w:ascii="Times New Roman" w:hAnsi="Times New Roman" w:cs="Times New Roman"/>
          <w:sz w:val="28"/>
          <w:szCs w:val="24"/>
        </w:rPr>
        <w:fldChar w:fldCharType="separate"/>
      </w:r>
      <w:r w:rsidR="00FC3CF3">
        <w:rPr>
          <w:rFonts w:ascii="Times New Roman" w:hAnsi="Times New Roman" w:cs="Times New Roman"/>
          <w:sz w:val="28"/>
          <w:szCs w:val="24"/>
        </w:rPr>
        <w:t>5</w:t>
      </w:r>
      <w:r w:rsidR="00FC3CF3">
        <w:rPr>
          <w:rFonts w:ascii="Times New Roman" w:hAnsi="Times New Roman" w:cs="Times New Roman"/>
          <w:sz w:val="28"/>
          <w:szCs w:val="24"/>
        </w:rPr>
        <w:fldChar w:fldCharType="end"/>
      </w:r>
      <w:r w:rsidR="00FC3CF3" w:rsidRPr="00FC3CF3">
        <w:rPr>
          <w:rFonts w:ascii="Times New Roman" w:hAnsi="Times New Roman" w:cs="Times New Roman"/>
          <w:sz w:val="28"/>
          <w:szCs w:val="24"/>
        </w:rPr>
        <w:t>]</w:t>
      </w:r>
      <w:r>
        <w:rPr>
          <w:rFonts w:ascii="Times New Roman" w:hAnsi="Times New Roman" w:cs="Times New Roman"/>
          <w:sz w:val="28"/>
          <w:szCs w:val="24"/>
        </w:rPr>
        <w:t xml:space="preserve">, на микро </w:t>
      </w:r>
      <w:r w:rsidR="008D63DF">
        <w:rPr>
          <w:rFonts w:ascii="Times New Roman" w:hAnsi="Times New Roman" w:cs="Times New Roman"/>
          <w:sz w:val="28"/>
          <w:szCs w:val="24"/>
        </w:rPr>
        <w:t xml:space="preserve">– работа </w:t>
      </w:r>
      <w:r w:rsidR="0025633C">
        <w:rPr>
          <w:rFonts w:ascii="Times New Roman" w:hAnsi="Times New Roman" w:cs="Times New Roman"/>
          <w:sz w:val="28"/>
          <w:szCs w:val="24"/>
          <w:lang w:val="en-US"/>
        </w:rPr>
        <w:t>MOSES</w:t>
      </w:r>
      <w:r w:rsidR="0025633C" w:rsidRPr="0025633C">
        <w:rPr>
          <w:rFonts w:ascii="Times New Roman" w:hAnsi="Times New Roman" w:cs="Times New Roman"/>
          <w:sz w:val="28"/>
          <w:szCs w:val="24"/>
        </w:rPr>
        <w:t xml:space="preserve"> </w:t>
      </w:r>
      <w:r w:rsidR="00FC3CF3" w:rsidRPr="00FC3CF3">
        <w:rPr>
          <w:rFonts w:ascii="Times New Roman" w:hAnsi="Times New Roman" w:cs="Times New Roman"/>
          <w:sz w:val="28"/>
          <w:szCs w:val="24"/>
        </w:rPr>
        <w:t>[</w:t>
      </w:r>
      <w:r w:rsidR="00FC3CF3">
        <w:rPr>
          <w:rFonts w:ascii="Times New Roman" w:hAnsi="Times New Roman" w:cs="Times New Roman"/>
          <w:sz w:val="28"/>
          <w:szCs w:val="24"/>
        </w:rPr>
        <w:fldChar w:fldCharType="begin"/>
      </w:r>
      <w:r w:rsidR="00FC3CF3">
        <w:rPr>
          <w:rFonts w:ascii="Times New Roman" w:hAnsi="Times New Roman" w:cs="Times New Roman"/>
          <w:sz w:val="28"/>
          <w:szCs w:val="24"/>
        </w:rPr>
        <w:instrText xml:space="preserve"> REF _Ref48740421 \r \h </w:instrText>
      </w:r>
      <w:r w:rsidR="00FC3CF3">
        <w:rPr>
          <w:rFonts w:ascii="Times New Roman" w:hAnsi="Times New Roman" w:cs="Times New Roman"/>
          <w:sz w:val="28"/>
          <w:szCs w:val="24"/>
        </w:rPr>
      </w:r>
      <w:r w:rsidR="00FC3CF3">
        <w:rPr>
          <w:rFonts w:ascii="Times New Roman" w:hAnsi="Times New Roman" w:cs="Times New Roman"/>
          <w:sz w:val="28"/>
          <w:szCs w:val="24"/>
        </w:rPr>
        <w:fldChar w:fldCharType="separate"/>
      </w:r>
      <w:r w:rsidR="00FC3CF3">
        <w:rPr>
          <w:rFonts w:ascii="Times New Roman" w:hAnsi="Times New Roman" w:cs="Times New Roman"/>
          <w:sz w:val="28"/>
          <w:szCs w:val="24"/>
        </w:rPr>
        <w:t>2</w:t>
      </w:r>
      <w:r w:rsidR="00FC3CF3">
        <w:rPr>
          <w:rFonts w:ascii="Times New Roman" w:hAnsi="Times New Roman" w:cs="Times New Roman"/>
          <w:sz w:val="28"/>
          <w:szCs w:val="24"/>
        </w:rPr>
        <w:fldChar w:fldCharType="end"/>
      </w:r>
      <w:r w:rsidR="00FC3CF3" w:rsidRPr="00FC3CF3">
        <w:rPr>
          <w:rFonts w:ascii="Times New Roman" w:hAnsi="Times New Roman" w:cs="Times New Roman"/>
          <w:sz w:val="28"/>
          <w:szCs w:val="24"/>
        </w:rPr>
        <w:t>]</w:t>
      </w:r>
      <w:r>
        <w:rPr>
          <w:rFonts w:ascii="Times New Roman" w:hAnsi="Times New Roman" w:cs="Times New Roman"/>
          <w:sz w:val="28"/>
          <w:szCs w:val="24"/>
        </w:rPr>
        <w:t>. Прогнозирование на микро уровне полезно тем, что позволяет отслеживать структурные изменения на уровне отрасли. Для примера обратимся к продуктам питания. Известно, что их потребление непосредственно влияет на здоровье населения и профилактику некоторых заболеваний. В частности, анемия связана с недостатком железа в рационе или трудностями в усвоении, вызванные, в том числе, недостатком сопутствующих микроэлементов (</w:t>
      </w:r>
      <w:r w:rsidR="00FC3CF3">
        <w:rPr>
          <w:rFonts w:ascii="Times New Roman" w:hAnsi="Times New Roman" w:cs="Times New Roman"/>
          <w:sz w:val="28"/>
          <w:szCs w:val="24"/>
        </w:rPr>
        <w:t xml:space="preserve">витамин В12, фолиевая кислота) </w:t>
      </w:r>
      <w:r w:rsidR="00FC3CF3" w:rsidRPr="00FC3CF3">
        <w:rPr>
          <w:rFonts w:ascii="Times New Roman" w:hAnsi="Times New Roman" w:cs="Times New Roman"/>
          <w:sz w:val="28"/>
          <w:szCs w:val="24"/>
        </w:rPr>
        <w:t>[</w:t>
      </w:r>
      <w:r w:rsidR="00FC3CF3">
        <w:rPr>
          <w:rFonts w:ascii="Times New Roman" w:hAnsi="Times New Roman" w:cs="Times New Roman"/>
          <w:sz w:val="28"/>
          <w:szCs w:val="24"/>
        </w:rPr>
        <w:fldChar w:fldCharType="begin"/>
      </w:r>
      <w:r w:rsidR="00FC3CF3">
        <w:rPr>
          <w:rFonts w:ascii="Times New Roman" w:hAnsi="Times New Roman" w:cs="Times New Roman"/>
          <w:sz w:val="28"/>
          <w:szCs w:val="24"/>
        </w:rPr>
        <w:instrText xml:space="preserve"> REF _Ref48740439 \r \h </w:instrText>
      </w:r>
      <w:r w:rsidR="00FC3CF3">
        <w:rPr>
          <w:rFonts w:ascii="Times New Roman" w:hAnsi="Times New Roman" w:cs="Times New Roman"/>
          <w:sz w:val="28"/>
          <w:szCs w:val="24"/>
        </w:rPr>
      </w:r>
      <w:r w:rsidR="00FC3CF3">
        <w:rPr>
          <w:rFonts w:ascii="Times New Roman" w:hAnsi="Times New Roman" w:cs="Times New Roman"/>
          <w:sz w:val="28"/>
          <w:szCs w:val="24"/>
        </w:rPr>
        <w:fldChar w:fldCharType="separate"/>
      </w:r>
      <w:r w:rsidR="00FC3CF3">
        <w:rPr>
          <w:rFonts w:ascii="Times New Roman" w:hAnsi="Times New Roman" w:cs="Times New Roman"/>
          <w:sz w:val="28"/>
          <w:szCs w:val="24"/>
        </w:rPr>
        <w:t>1</w:t>
      </w:r>
      <w:r w:rsidR="00FC3CF3">
        <w:rPr>
          <w:rFonts w:ascii="Times New Roman" w:hAnsi="Times New Roman" w:cs="Times New Roman"/>
          <w:sz w:val="28"/>
          <w:szCs w:val="24"/>
        </w:rPr>
        <w:fldChar w:fldCharType="end"/>
      </w:r>
      <w:r w:rsidR="00FC3CF3" w:rsidRPr="00FC3CF3">
        <w:rPr>
          <w:rFonts w:ascii="Times New Roman" w:hAnsi="Times New Roman" w:cs="Times New Roman"/>
          <w:sz w:val="28"/>
          <w:szCs w:val="24"/>
        </w:rPr>
        <w:t>]</w:t>
      </w:r>
      <w:r>
        <w:rPr>
          <w:rFonts w:ascii="Times New Roman" w:hAnsi="Times New Roman" w:cs="Times New Roman"/>
          <w:sz w:val="28"/>
          <w:szCs w:val="24"/>
        </w:rPr>
        <w:t>.</w:t>
      </w:r>
      <w:r w:rsidR="00643941">
        <w:rPr>
          <w:rFonts w:ascii="Times New Roman" w:hAnsi="Times New Roman" w:cs="Times New Roman"/>
          <w:sz w:val="28"/>
          <w:szCs w:val="24"/>
        </w:rPr>
        <w:t xml:space="preserve"> Пищевые привычки, традиции формируют рацион, который изменяется </w:t>
      </w:r>
      <w:r w:rsidR="0025633C">
        <w:rPr>
          <w:rFonts w:ascii="Times New Roman" w:hAnsi="Times New Roman" w:cs="Times New Roman"/>
          <w:sz w:val="28"/>
          <w:szCs w:val="24"/>
          <w:lang w:val="en-US"/>
        </w:rPr>
        <w:t>c</w:t>
      </w:r>
      <w:r w:rsidR="0025633C" w:rsidRPr="0025633C">
        <w:rPr>
          <w:rFonts w:ascii="Times New Roman" w:hAnsi="Times New Roman" w:cs="Times New Roman"/>
          <w:sz w:val="28"/>
          <w:szCs w:val="24"/>
        </w:rPr>
        <w:t xml:space="preserve"> </w:t>
      </w:r>
      <w:r w:rsidR="00643941">
        <w:rPr>
          <w:rFonts w:ascii="Times New Roman" w:hAnsi="Times New Roman" w:cs="Times New Roman"/>
          <w:sz w:val="28"/>
          <w:szCs w:val="24"/>
        </w:rPr>
        <w:t xml:space="preserve">доступностью продуктов, регулированием потребления, модой. </w:t>
      </w:r>
      <w:r w:rsidR="00FB58BC">
        <w:rPr>
          <w:rFonts w:ascii="Times New Roman" w:hAnsi="Times New Roman" w:cs="Times New Roman"/>
          <w:sz w:val="28"/>
          <w:szCs w:val="24"/>
        </w:rPr>
        <w:t>Для повышения доступности важно отслеживать экономической состояние производителей и поставщиков основных продуктов питания. Соответствующим инструментом в данной работе служит имитационная модель.</w:t>
      </w:r>
    </w:p>
    <w:p w:rsidR="00EE1047" w:rsidRDefault="00EE1047" w:rsidP="00F265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Отправной точкой служит подход самосогласованного по</w:t>
      </w:r>
      <w:r w:rsidR="00FC3CF3">
        <w:rPr>
          <w:rFonts w:ascii="Times New Roman" w:hAnsi="Times New Roman" w:cs="Times New Roman"/>
          <w:sz w:val="28"/>
          <w:szCs w:val="24"/>
        </w:rPr>
        <w:t xml:space="preserve">ля, изложенный в </w:t>
      </w:r>
      <w:r w:rsidR="00FC3CF3" w:rsidRPr="00FC3CF3">
        <w:rPr>
          <w:rFonts w:ascii="Times New Roman" w:hAnsi="Times New Roman" w:cs="Times New Roman"/>
          <w:sz w:val="28"/>
          <w:szCs w:val="24"/>
        </w:rPr>
        <w:t>[</w:t>
      </w:r>
      <w:r w:rsidR="00FC3CF3">
        <w:rPr>
          <w:rFonts w:ascii="Times New Roman" w:hAnsi="Times New Roman" w:cs="Times New Roman"/>
          <w:sz w:val="28"/>
          <w:szCs w:val="24"/>
        </w:rPr>
        <w:fldChar w:fldCharType="begin"/>
      </w:r>
      <w:r w:rsidR="00FC3CF3">
        <w:rPr>
          <w:rFonts w:ascii="Times New Roman" w:hAnsi="Times New Roman" w:cs="Times New Roman"/>
          <w:sz w:val="28"/>
          <w:szCs w:val="24"/>
        </w:rPr>
        <w:instrText xml:space="preserve"> REF _Ref48740458 \r \h </w:instrText>
      </w:r>
      <w:r w:rsidR="00FC3CF3">
        <w:rPr>
          <w:rFonts w:ascii="Times New Roman" w:hAnsi="Times New Roman" w:cs="Times New Roman"/>
          <w:sz w:val="28"/>
          <w:szCs w:val="24"/>
        </w:rPr>
      </w:r>
      <w:r w:rsidR="00FC3CF3">
        <w:rPr>
          <w:rFonts w:ascii="Times New Roman" w:hAnsi="Times New Roman" w:cs="Times New Roman"/>
          <w:sz w:val="28"/>
          <w:szCs w:val="24"/>
        </w:rPr>
        <w:fldChar w:fldCharType="separate"/>
      </w:r>
      <w:r w:rsidR="00FC3CF3">
        <w:rPr>
          <w:rFonts w:ascii="Times New Roman" w:hAnsi="Times New Roman" w:cs="Times New Roman"/>
          <w:sz w:val="28"/>
          <w:szCs w:val="24"/>
        </w:rPr>
        <w:t>4</w:t>
      </w:r>
      <w:r w:rsidR="00FC3CF3">
        <w:rPr>
          <w:rFonts w:ascii="Times New Roman" w:hAnsi="Times New Roman" w:cs="Times New Roman"/>
          <w:sz w:val="28"/>
          <w:szCs w:val="24"/>
        </w:rPr>
        <w:fldChar w:fldCharType="end"/>
      </w:r>
      <w:r w:rsidR="00FC3CF3" w:rsidRPr="00FC3CF3">
        <w:rPr>
          <w:rFonts w:ascii="Times New Roman" w:hAnsi="Times New Roman" w:cs="Times New Roman"/>
          <w:sz w:val="28"/>
          <w:szCs w:val="24"/>
        </w:rPr>
        <w:t>]</w:t>
      </w:r>
      <w:r>
        <w:rPr>
          <w:rFonts w:ascii="Times New Roman" w:hAnsi="Times New Roman" w:cs="Times New Roman"/>
          <w:sz w:val="28"/>
          <w:szCs w:val="24"/>
        </w:rPr>
        <w:t>. В общем случае выпуск отрасли с течением времени можно описать уравнением</w:t>
      </w:r>
    </w:p>
    <w:p w:rsidR="00EE1047" w:rsidRPr="00EE1047" w:rsidRDefault="00227018" w:rsidP="00EE1047">
      <w:pPr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i+1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= 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-diag </m:t>
          </m:r>
          <m:d>
            <m:d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ξ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+ 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ξ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sub>
                  </m:sSub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∙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e>
                  </m:acc>
                </m:e>
              </m:d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 ∙ 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  ,</m:t>
          </m:r>
        </m:oMath>
      </m:oMathPara>
    </w:p>
    <w:p w:rsidR="00EE1047" w:rsidRDefault="00EE1047" w:rsidP="00EE10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где</w:t>
      </w:r>
      <w:r w:rsidRPr="0041011D">
        <w:rPr>
          <w:rFonts w:ascii="Times New Roman" w:hAnsi="Times New Roman" w:cs="Times New Roman"/>
          <w:sz w:val="28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sz w:val="28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A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i</m:t>
            </m:r>
          </m:sub>
        </m:sSub>
      </m:oMath>
      <w:r w:rsidRPr="0041011D">
        <w:rPr>
          <w:rFonts w:ascii="Times New Roman" w:hAnsi="Times New Roman" w:cs="Times New Roman"/>
          <w:sz w:val="28"/>
          <w:szCs w:val="24"/>
        </w:rPr>
        <w:t xml:space="preserve"> – </w:t>
      </w:r>
      <w:r>
        <w:rPr>
          <w:rFonts w:ascii="Times New Roman" w:hAnsi="Times New Roman" w:cs="Times New Roman"/>
          <w:sz w:val="28"/>
          <w:szCs w:val="24"/>
        </w:rPr>
        <w:t>вектор</w:t>
      </w:r>
      <w:r w:rsidRPr="0041011D">
        <w:rPr>
          <w:rFonts w:ascii="Times New Roman" w:hAnsi="Times New Roman" w:cs="Times New Roman"/>
          <w:sz w:val="28"/>
          <w:szCs w:val="24"/>
        </w:rPr>
        <w:t>-</w:t>
      </w:r>
      <w:r>
        <w:rPr>
          <w:rFonts w:ascii="Times New Roman" w:hAnsi="Times New Roman" w:cs="Times New Roman"/>
          <w:sz w:val="28"/>
          <w:szCs w:val="24"/>
        </w:rPr>
        <w:t>столбец</w:t>
      </w:r>
      <w:r w:rsidRPr="0041011D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выпуска</w:t>
      </w:r>
      <w:r w:rsidRPr="0041011D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en-US"/>
        </w:rPr>
        <w:t>J</w:t>
      </w:r>
      <w:r w:rsidRPr="0041011D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фирмами</w:t>
      </w:r>
      <w:r w:rsidRPr="0041011D">
        <w:rPr>
          <w:rFonts w:ascii="Times New Roman" w:hAnsi="Times New Roman" w:cs="Times New Roman"/>
          <w:sz w:val="28"/>
          <w:szCs w:val="24"/>
        </w:rPr>
        <w:t xml:space="preserve"> (</w:t>
      </w:r>
      <w:r>
        <w:rPr>
          <w:rFonts w:ascii="Times New Roman" w:hAnsi="Times New Roman" w:cs="Times New Roman"/>
          <w:sz w:val="28"/>
          <w:szCs w:val="24"/>
        </w:rPr>
        <w:t>размерность</w:t>
      </w:r>
      <w:r w:rsidRPr="0041011D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вектора</w:t>
      </w:r>
      <w:r w:rsidRPr="0041011D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en-US"/>
        </w:rPr>
        <w:t>J</w:t>
      </w:r>
      <w:r w:rsidRPr="0041011D">
        <w:rPr>
          <w:rFonts w:ascii="Times New Roman" w:hAnsi="Times New Roman" w:cs="Times New Roman"/>
          <w:sz w:val="28"/>
          <w:szCs w:val="24"/>
        </w:rPr>
        <w:t xml:space="preserve">) </w:t>
      </w:r>
      <w:r>
        <w:rPr>
          <w:rFonts w:ascii="Times New Roman" w:hAnsi="Times New Roman" w:cs="Times New Roman"/>
          <w:sz w:val="28"/>
          <w:szCs w:val="24"/>
        </w:rPr>
        <w:t>в</w:t>
      </w:r>
      <w:r w:rsidRPr="0041011D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момент</w:t>
      </w:r>
      <w:r w:rsidRPr="0041011D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времени</w:t>
      </w:r>
      <w:r w:rsidRPr="0041011D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en-US"/>
        </w:rPr>
        <w:t>i</w:t>
      </w:r>
      <w:r w:rsidRPr="0041011D">
        <w:rPr>
          <w:rFonts w:ascii="Times New Roman" w:hAnsi="Times New Roman" w:cs="Times New Roman"/>
          <w:sz w:val="28"/>
          <w:szCs w:val="24"/>
        </w:rPr>
        <w:t xml:space="preserve">; </w:t>
      </w:r>
      <m:oMath>
        <m:acc>
          <m:accPr>
            <m:chr m:val="̅"/>
            <m:ctrlPr>
              <w:rPr>
                <w:rFonts w:ascii="Cambria Math" w:hAnsi="Cambria Math" w:cs="Times New Roman"/>
                <w:sz w:val="28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4"/>
              </w:rPr>
              <m:t>I</m:t>
            </m:r>
          </m:e>
        </m:acc>
      </m:oMath>
      <w:r w:rsidRPr="0041011D">
        <w:rPr>
          <w:rFonts w:ascii="Times New Roman" w:hAnsi="Times New Roman" w:cs="Times New Roman"/>
          <w:sz w:val="28"/>
          <w:szCs w:val="24"/>
        </w:rPr>
        <w:t xml:space="preserve"> – </w:t>
      </w:r>
      <w:r>
        <w:rPr>
          <w:rFonts w:ascii="Times New Roman" w:hAnsi="Times New Roman" w:cs="Times New Roman"/>
          <w:sz w:val="28"/>
          <w:szCs w:val="24"/>
        </w:rPr>
        <w:t>вектор</w:t>
      </w:r>
      <w:r w:rsidRPr="0041011D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размерности</w:t>
      </w:r>
      <w:r w:rsidRPr="0041011D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en-US"/>
        </w:rPr>
        <w:t>J</w:t>
      </w:r>
      <w:r w:rsidRPr="0041011D">
        <w:rPr>
          <w:rFonts w:ascii="Times New Roman" w:hAnsi="Times New Roman" w:cs="Times New Roman"/>
          <w:sz w:val="28"/>
          <w:szCs w:val="24"/>
        </w:rPr>
        <w:t xml:space="preserve">, </w:t>
      </w:r>
      <w:r>
        <w:rPr>
          <w:rFonts w:ascii="Times New Roman" w:hAnsi="Times New Roman" w:cs="Times New Roman"/>
          <w:sz w:val="28"/>
          <w:szCs w:val="24"/>
        </w:rPr>
        <w:t>все</w:t>
      </w:r>
      <w:r w:rsidRPr="0041011D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компоненты</w:t>
      </w:r>
      <w:r w:rsidRPr="0041011D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которого</w:t>
      </w:r>
      <w:r w:rsidRPr="0041011D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равны</w:t>
      </w:r>
      <w:r w:rsidRPr="0041011D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единице</w:t>
      </w:r>
      <w:r w:rsidRPr="0041011D">
        <w:rPr>
          <w:rFonts w:ascii="Times New Roman" w:hAnsi="Times New Roman" w:cs="Times New Roman"/>
          <w:sz w:val="28"/>
          <w:szCs w:val="24"/>
        </w:rPr>
        <w:t xml:space="preserve">;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sz w:val="28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ξ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i</m:t>
            </m:r>
          </m:sub>
        </m:sSub>
      </m:oMath>
      <w:r w:rsidRPr="0041011D">
        <w:rPr>
          <w:rFonts w:ascii="Times New Roman" w:hAnsi="Times New Roman" w:cs="Times New Roman"/>
          <w:sz w:val="28"/>
          <w:szCs w:val="24"/>
        </w:rPr>
        <w:t xml:space="preserve"> – </w:t>
      </w:r>
      <w:r>
        <w:rPr>
          <w:rFonts w:ascii="Times New Roman" w:hAnsi="Times New Roman" w:cs="Times New Roman"/>
          <w:sz w:val="28"/>
          <w:szCs w:val="24"/>
        </w:rPr>
        <w:t>вектор</w:t>
      </w:r>
      <w:r w:rsidRPr="0041011D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индивидуальных</w:t>
      </w:r>
      <w:r w:rsidRPr="0041011D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ошибок</w:t>
      </w:r>
      <w:r w:rsidRPr="0041011D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фирм</w:t>
      </w:r>
      <w:r w:rsidR="0041011D" w:rsidRPr="0041011D">
        <w:rPr>
          <w:rFonts w:ascii="Times New Roman" w:hAnsi="Times New Roman" w:cs="Times New Roman"/>
          <w:sz w:val="28"/>
          <w:szCs w:val="24"/>
        </w:rPr>
        <w:t xml:space="preserve"> (</w:t>
      </w:r>
      <w:r w:rsidR="0041011D">
        <w:rPr>
          <w:rFonts w:ascii="Times New Roman" w:hAnsi="Times New Roman" w:cs="Times New Roman"/>
          <w:sz w:val="28"/>
          <w:szCs w:val="24"/>
        </w:rPr>
        <w:t>размерности</w:t>
      </w:r>
      <w:r w:rsidR="0041011D" w:rsidRPr="0041011D">
        <w:rPr>
          <w:rFonts w:ascii="Times New Roman" w:hAnsi="Times New Roman" w:cs="Times New Roman"/>
          <w:sz w:val="28"/>
          <w:szCs w:val="24"/>
        </w:rPr>
        <w:t xml:space="preserve"> </w:t>
      </w:r>
      <w:r w:rsidR="0041011D">
        <w:rPr>
          <w:rFonts w:ascii="Times New Roman" w:hAnsi="Times New Roman" w:cs="Times New Roman"/>
          <w:sz w:val="28"/>
          <w:szCs w:val="24"/>
          <w:lang w:val="en-US"/>
        </w:rPr>
        <w:t>J</w:t>
      </w:r>
      <w:r w:rsidR="0041011D" w:rsidRPr="0041011D">
        <w:rPr>
          <w:rFonts w:ascii="Times New Roman" w:hAnsi="Times New Roman" w:cs="Times New Roman"/>
          <w:sz w:val="28"/>
          <w:szCs w:val="24"/>
        </w:rPr>
        <w:t xml:space="preserve">) </w:t>
      </w:r>
      <w:r w:rsidR="0041011D">
        <w:rPr>
          <w:rFonts w:ascii="Times New Roman" w:hAnsi="Times New Roman" w:cs="Times New Roman"/>
          <w:sz w:val="28"/>
          <w:szCs w:val="24"/>
        </w:rPr>
        <w:t>в</w:t>
      </w:r>
      <w:r w:rsidR="0041011D" w:rsidRPr="0041011D">
        <w:rPr>
          <w:rFonts w:ascii="Times New Roman" w:hAnsi="Times New Roman" w:cs="Times New Roman"/>
          <w:sz w:val="28"/>
          <w:szCs w:val="24"/>
        </w:rPr>
        <w:t xml:space="preserve"> </w:t>
      </w:r>
      <w:r w:rsidR="0041011D">
        <w:rPr>
          <w:rFonts w:ascii="Times New Roman" w:hAnsi="Times New Roman" w:cs="Times New Roman"/>
          <w:sz w:val="28"/>
          <w:szCs w:val="24"/>
        </w:rPr>
        <w:t>момент</w:t>
      </w:r>
      <w:r w:rsidR="0041011D" w:rsidRPr="0041011D">
        <w:rPr>
          <w:rFonts w:ascii="Times New Roman" w:hAnsi="Times New Roman" w:cs="Times New Roman"/>
          <w:sz w:val="28"/>
          <w:szCs w:val="24"/>
        </w:rPr>
        <w:t xml:space="preserve"> </w:t>
      </w:r>
      <w:r w:rsidR="0041011D">
        <w:rPr>
          <w:rFonts w:ascii="Times New Roman" w:hAnsi="Times New Roman" w:cs="Times New Roman"/>
          <w:sz w:val="28"/>
          <w:szCs w:val="24"/>
        </w:rPr>
        <w:t>времени</w:t>
      </w:r>
      <w:r w:rsidR="0041011D" w:rsidRPr="0041011D">
        <w:rPr>
          <w:rFonts w:ascii="Times New Roman" w:hAnsi="Times New Roman" w:cs="Times New Roman"/>
          <w:sz w:val="28"/>
          <w:szCs w:val="24"/>
        </w:rPr>
        <w:t xml:space="preserve"> </w:t>
      </w:r>
      <w:r w:rsidR="0041011D">
        <w:rPr>
          <w:rFonts w:ascii="Times New Roman" w:hAnsi="Times New Roman" w:cs="Times New Roman"/>
          <w:sz w:val="28"/>
          <w:szCs w:val="24"/>
          <w:lang w:val="en-US"/>
        </w:rPr>
        <w:t>i</w:t>
      </w:r>
      <w:r w:rsidR="0041011D" w:rsidRPr="0041011D">
        <w:rPr>
          <w:rFonts w:ascii="Times New Roman" w:hAnsi="Times New Roman" w:cs="Times New Roman"/>
          <w:sz w:val="28"/>
          <w:szCs w:val="24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sz w:val="28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sz w:val="28"/>
                    <w:szCs w:val="24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 w:cs="Times New Roman"/>
                        <w:sz w:val="28"/>
                        <w:szCs w:val="24"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 w:cs="Times New Roman"/>
                            <w:sz w:val="28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4"/>
                            <w:lang w:val="en-US"/>
                          </w:rPr>
                          <m:t>A</m:t>
                        </m: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4"/>
                        <w:lang w:val="en-US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4"/>
                        <w:lang w:val="en-US"/>
                      </w:rPr>
                      <m:t>T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4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4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 w:cs="Times New Roman"/>
                            <w:sz w:val="28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4"/>
                          </w:rPr>
                          <m:t>ξ</m:t>
                        </m: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4"/>
                        <w:lang w:val="en-US"/>
                      </w:rPr>
                      <m:t>i</m:t>
                    </m:r>
                  </m:sub>
                </m:sSub>
              </m:e>
            </m:d>
          </m:num>
          <m:den>
            <m:d>
              <m:dPr>
                <m:ctrlPr>
                  <w:rPr>
                    <w:rFonts w:ascii="Cambria Math" w:hAnsi="Cambria Math" w:cs="Times New Roman"/>
                    <w:sz w:val="28"/>
                    <w:szCs w:val="24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 w:cs="Times New Roman"/>
                        <w:sz w:val="28"/>
                        <w:szCs w:val="24"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 w:cs="Times New Roman"/>
                            <w:sz w:val="28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4"/>
                            <w:lang w:val="en-US"/>
                          </w:rPr>
                          <m:t>A</m:t>
                        </m: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4"/>
                        <w:lang w:val="en-US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4"/>
                        <w:lang w:val="en-US"/>
                      </w:rPr>
                      <m:t>T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4"/>
                  </w:rPr>
                  <m:t>∙</m:t>
                </m:r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sz w:val="28"/>
                        <w:szCs w:val="24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4"/>
                        <w:lang w:val="en-US"/>
                      </w:rPr>
                      <m:t>I</m:t>
                    </m:r>
                  </m:e>
                </m:acc>
              </m:e>
            </m:d>
          </m:den>
        </m:f>
      </m:oMath>
      <w:r w:rsidRPr="0041011D">
        <w:rPr>
          <w:rFonts w:ascii="Times New Roman" w:hAnsi="Times New Roman" w:cs="Times New Roman"/>
          <w:sz w:val="28"/>
          <w:szCs w:val="24"/>
        </w:rPr>
        <w:t xml:space="preserve">=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4"/>
              </w:rPr>
              <m:t>&lt;</m:t>
            </m:r>
            <m:acc>
              <m:accPr>
                <m:chr m:val="̅"/>
                <m:ctrlPr>
                  <w:rPr>
                    <w:rFonts w:ascii="Cambria Math" w:hAnsi="Cambria Math" w:cs="Times New Roman"/>
                    <w:sz w:val="28"/>
                    <w:szCs w:val="24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4"/>
                  </w:rPr>
                  <m:t>ξ</m:t>
                </m:r>
              </m:e>
            </m:acc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4"/>
              </w:rPr>
              <m:t>&gt;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4"/>
                <w:lang w:val="en-US"/>
              </w:rPr>
              <m:t>A</m:t>
            </m:r>
          </m:sub>
        </m:sSub>
      </m:oMath>
      <w:r w:rsidRPr="0041011D">
        <w:rPr>
          <w:rFonts w:ascii="Times New Roman" w:hAnsi="Times New Roman" w:cs="Times New Roman"/>
          <w:sz w:val="28"/>
          <w:szCs w:val="24"/>
        </w:rPr>
        <w:t xml:space="preserve"> – </w:t>
      </w:r>
      <w:r w:rsidR="0041011D">
        <w:rPr>
          <w:rFonts w:ascii="Times New Roman" w:hAnsi="Times New Roman" w:cs="Times New Roman"/>
          <w:sz w:val="28"/>
          <w:szCs w:val="24"/>
        </w:rPr>
        <w:t xml:space="preserve">«капиталистическое усреднение» </w:t>
      </w:r>
      <w:r w:rsidR="0041011D" w:rsidRPr="0041011D">
        <w:rPr>
          <w:rFonts w:ascii="Times New Roman" w:hAnsi="Times New Roman" w:cs="Times New Roman"/>
          <w:sz w:val="28"/>
          <w:szCs w:val="24"/>
        </w:rPr>
        <w:t>–</w:t>
      </w:r>
      <w:r w:rsidR="0041011D">
        <w:rPr>
          <w:rFonts w:ascii="Times New Roman" w:hAnsi="Times New Roman" w:cs="Times New Roman"/>
          <w:sz w:val="28"/>
          <w:szCs w:val="24"/>
        </w:rPr>
        <w:t xml:space="preserve"> взвешенная ошибка рынка </w:t>
      </w:r>
      <w:r w:rsidR="00C6259D">
        <w:rPr>
          <w:rFonts w:ascii="Times New Roman" w:hAnsi="Times New Roman" w:cs="Times New Roman"/>
          <w:sz w:val="28"/>
          <w:szCs w:val="24"/>
        </w:rPr>
        <w:t>вследствие</w:t>
      </w:r>
      <w:r w:rsidR="0041011D">
        <w:rPr>
          <w:rFonts w:ascii="Times New Roman" w:hAnsi="Times New Roman" w:cs="Times New Roman"/>
          <w:sz w:val="28"/>
          <w:szCs w:val="24"/>
        </w:rPr>
        <w:t xml:space="preserve"> несовершенства механизмов принятия решений каждой фирмой в отдельности. </w:t>
      </w:r>
      <w:r w:rsidR="00C64D71">
        <w:rPr>
          <w:rFonts w:ascii="Times New Roman" w:hAnsi="Times New Roman" w:cs="Times New Roman"/>
          <w:sz w:val="28"/>
          <w:szCs w:val="24"/>
        </w:rPr>
        <w:t>Изначальная постановка с д</w:t>
      </w:r>
      <w:r w:rsidR="00C6259D">
        <w:rPr>
          <w:rFonts w:ascii="Times New Roman" w:hAnsi="Times New Roman" w:cs="Times New Roman"/>
          <w:sz w:val="28"/>
          <w:szCs w:val="24"/>
        </w:rPr>
        <w:t>искретным временем удобна</w:t>
      </w:r>
      <w:r w:rsidR="00C64D71">
        <w:rPr>
          <w:rFonts w:ascii="Times New Roman" w:hAnsi="Times New Roman" w:cs="Times New Roman"/>
          <w:sz w:val="28"/>
          <w:szCs w:val="24"/>
        </w:rPr>
        <w:t xml:space="preserve"> для последующих компьютерных симуляций.</w:t>
      </w:r>
    </w:p>
    <w:p w:rsidR="002B1A52" w:rsidRPr="00EE1047" w:rsidRDefault="00B029D1" w:rsidP="002B1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Используем указанный подход для анализа продовольственной отрасли, и для этого рассмотрим экономику с четырьмя секторами: производство продуктов питания, финансы, исследования и разработки, остальная экономика. Выделение финансового сектора и научно-исследовательского в модельных расчётах продиктовано следующими обстоятельствами. Первый позволяет генерировать ресурсы для развития, </w:t>
      </w:r>
      <w:r>
        <w:rPr>
          <w:rFonts w:ascii="Times New Roman" w:hAnsi="Times New Roman" w:cs="Times New Roman"/>
          <w:sz w:val="28"/>
          <w:szCs w:val="24"/>
        </w:rPr>
        <w:lastRenderedPageBreak/>
        <w:t xml:space="preserve">второй – кратно расширять ресурсы экономики с появлением новых технологий. Формализуем динамику перечисленных секторов. Уравнение для </w:t>
      </w:r>
      <w:r w:rsidR="00817CB8">
        <w:rPr>
          <w:rFonts w:ascii="Times New Roman" w:hAnsi="Times New Roman" w:cs="Times New Roman"/>
          <w:sz w:val="28"/>
          <w:szCs w:val="24"/>
        </w:rPr>
        <w:t>производителей продуктов питания:</w:t>
      </w:r>
    </w:p>
    <w:p w:rsidR="00B029D1" w:rsidRPr="00B029D1" w:rsidRDefault="00227018" w:rsidP="00B029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A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i+1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A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 xml:space="preserve">-diag </m:t>
          </m:r>
          <m:d>
            <m:d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ξ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i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A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 xml:space="preserve">+ </m:t>
          </m:r>
          <m:f>
            <m:f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A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T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ξ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i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+</m:t>
              </m:r>
              <m:r>
                <w:rPr>
                  <w:rFonts w:ascii="Cambria Math" w:hAnsi="Cambria Math" w:cs="Times New Roman"/>
                  <w:sz w:val="28"/>
                  <w:szCs w:val="24"/>
                </w:rPr>
                <m:t>μ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П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i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A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T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∙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I</m:t>
                      </m:r>
                    </m:e>
                  </m:acc>
                </m:e>
              </m:d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 xml:space="preserve"> ∙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A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4"/>
                </w:rPr>
                <m:t>λ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4"/>
                </w:rPr>
                <m:t>AR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 xml:space="preserve"> </m:t>
          </m:r>
          <m:f>
            <m:f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∆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T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∙I</m:t>
                  </m:r>
                </m:e>
              </m:d>
            </m:num>
            <m:den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A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T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∙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I</m:t>
                      </m:r>
                    </m:e>
                  </m:acc>
                </m:e>
              </m:d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 xml:space="preserve"> ∙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A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>-</m:t>
          </m:r>
          <m:f>
            <m:f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(∆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AB</m:t>
                      </m:r>
                    </m:e>
                  </m:acc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∆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AF</m:t>
                      </m:r>
                    </m:e>
                  </m:acc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4"/>
                </w:rPr>
                <m:t>)</m:t>
              </m:r>
            </m:num>
            <m:den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A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T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∙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I</m:t>
                      </m:r>
                    </m:e>
                  </m:acc>
                </m:e>
              </m:d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 xml:space="preserve">∙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A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>,</m:t>
          </m:r>
        </m:oMath>
      </m:oMathPara>
    </w:p>
    <w:p w:rsidR="00B029D1" w:rsidRPr="00817CB8" w:rsidRDefault="00817CB8" w:rsidP="0081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где</w:t>
      </w:r>
      <w:r w:rsidR="00B029D1" w:rsidRPr="00817CB8">
        <w:rPr>
          <w:rFonts w:ascii="Times New Roman" w:hAnsi="Times New Roman" w:cs="Times New Roman"/>
          <w:sz w:val="28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4"/>
              </w:rPr>
              <m:t>∆</m:t>
            </m:r>
            <m:acc>
              <m:accPr>
                <m:chr m:val="̅"/>
                <m:ctrlPr>
                  <w:rPr>
                    <w:rFonts w:ascii="Cambria Math" w:hAnsi="Cambria Math" w:cs="Times New Roman"/>
                    <w:sz w:val="28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AB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i</m:t>
            </m:r>
          </m:sub>
        </m:sSub>
      </m:oMath>
      <w:r w:rsidR="00B029D1" w:rsidRPr="00817CB8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и</w:t>
      </w:r>
      <w:r w:rsidR="00B029D1" w:rsidRPr="00817CB8">
        <w:rPr>
          <w:rFonts w:ascii="Times New Roman" w:hAnsi="Times New Roman" w:cs="Times New Roman"/>
          <w:sz w:val="28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4"/>
              </w:rPr>
              <m:t>∆</m:t>
            </m:r>
            <m:acc>
              <m:accPr>
                <m:chr m:val="̅"/>
                <m:ctrlPr>
                  <w:rPr>
                    <w:rFonts w:ascii="Cambria Math" w:hAnsi="Cambria Math" w:cs="Times New Roman"/>
                    <w:sz w:val="28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AF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i</m:t>
            </m:r>
          </m:sub>
        </m:sSub>
      </m:oMath>
      <w:r w:rsidR="00B029D1" w:rsidRPr="00817CB8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представляют</w:t>
      </w:r>
      <w:r w:rsidRPr="00817CB8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поток</w:t>
      </w:r>
      <w:r w:rsidRPr="00817CB8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капитала</w:t>
      </w:r>
      <w:r w:rsidRPr="00817CB8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из</w:t>
      </w:r>
      <w:r w:rsidRPr="00817CB8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продовольственного</w:t>
      </w:r>
      <w:r w:rsidRPr="00817CB8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сектора</w:t>
      </w:r>
      <w:r w:rsidRPr="00817CB8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в</w:t>
      </w:r>
      <w:r w:rsidRPr="00817CB8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научно</w:t>
      </w:r>
      <w:r w:rsidRPr="00817CB8">
        <w:rPr>
          <w:rFonts w:ascii="Times New Roman" w:hAnsi="Times New Roman" w:cs="Times New Roman"/>
          <w:sz w:val="28"/>
          <w:szCs w:val="24"/>
        </w:rPr>
        <w:t>-</w:t>
      </w:r>
      <w:r>
        <w:rPr>
          <w:rFonts w:ascii="Times New Roman" w:hAnsi="Times New Roman" w:cs="Times New Roman"/>
          <w:sz w:val="28"/>
          <w:szCs w:val="24"/>
        </w:rPr>
        <w:t>исследовательский</w:t>
      </w:r>
      <w:r w:rsidRPr="00817CB8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и</w:t>
      </w:r>
      <w:r w:rsidRPr="00817CB8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финансовый</w:t>
      </w:r>
      <w:r w:rsidRPr="00817CB8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соответственно</w:t>
      </w:r>
      <w:r w:rsidRPr="00817CB8">
        <w:rPr>
          <w:rFonts w:ascii="Times New Roman" w:hAnsi="Times New Roman" w:cs="Times New Roman"/>
          <w:sz w:val="28"/>
          <w:szCs w:val="24"/>
        </w:rPr>
        <w:t xml:space="preserve">;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sz w:val="28"/>
                    <w:szCs w:val="24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4"/>
                    <w:lang w:val="en-US"/>
                  </w:rPr>
                  <m:t>R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4"/>
                <w:lang w:val="en-US"/>
              </w:rPr>
              <m:t>i</m:t>
            </m:r>
          </m:sub>
        </m:sSub>
      </m:oMath>
      <w:r w:rsidR="00B029D1" w:rsidRPr="00817CB8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обозначает оставшуюся экономику</w:t>
      </w:r>
      <w:r w:rsidR="00B029D1" w:rsidRPr="00817CB8">
        <w:rPr>
          <w:rFonts w:ascii="Times New Roman" w:hAnsi="Times New Roman" w:cs="Times New Roman"/>
          <w:sz w:val="28"/>
          <w:szCs w:val="24"/>
        </w:rPr>
        <w:t xml:space="preserve">;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</w:rPr>
              <m:t>λ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AR</m:t>
            </m:r>
          </m:sub>
        </m:sSub>
      </m:oMath>
      <w:r w:rsidR="00B029D1" w:rsidRPr="00817CB8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соответствует коэффициенту таблицы «затраты-выпуск»</w:t>
      </w:r>
      <w:r w:rsidR="00B029D1" w:rsidRPr="00817CB8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817CB8" w:rsidRPr="00817CB8" w:rsidRDefault="00817CB8" w:rsidP="00817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Динамика</w:t>
      </w:r>
      <w:r w:rsidRPr="00817CB8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других</w:t>
      </w:r>
      <w:r w:rsidRPr="00817CB8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секторов</w:t>
      </w:r>
      <w:r w:rsidRPr="00817CB8">
        <w:rPr>
          <w:rFonts w:ascii="Times New Roman" w:hAnsi="Times New Roman" w:cs="Times New Roman"/>
          <w:sz w:val="28"/>
          <w:szCs w:val="24"/>
        </w:rPr>
        <w:t xml:space="preserve"> – </w:t>
      </w:r>
      <w:r>
        <w:rPr>
          <w:rFonts w:ascii="Times New Roman" w:hAnsi="Times New Roman" w:cs="Times New Roman"/>
          <w:sz w:val="28"/>
          <w:szCs w:val="24"/>
        </w:rPr>
        <w:t>исследований и разработок, финансового, остальной экономик – описывается следующими уравнениями:</w:t>
      </w:r>
    </w:p>
    <w:p w:rsidR="00B029D1" w:rsidRPr="00B029D1" w:rsidRDefault="00227018" w:rsidP="00B029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B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i+1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T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 xml:space="preserve">∙I= </m:t>
          </m:r>
          <m:sSubSup>
            <m:sSubSup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B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i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T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 xml:space="preserve">∙I+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∆</m:t>
              </m:r>
              <m:r>
                <w:rPr>
                  <w:rFonts w:ascii="Cambria Math" w:hAnsi="Cambria Math" w:cs="Times New Roman"/>
                  <w:sz w:val="28"/>
                  <w:szCs w:val="24"/>
                </w:rPr>
                <m:t>AB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4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 xml:space="preserve"> 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4"/>
                </w:rPr>
                <m:t>λ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4"/>
                </w:rPr>
                <m:t>BR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 xml:space="preserve"> </m:t>
          </m:r>
          <m:f>
            <m:f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∆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T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∙I</m:t>
                  </m:r>
                </m:e>
              </m:d>
            </m:num>
            <m:den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B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T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∙I</m:t>
                  </m:r>
                </m:e>
              </m:d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 xml:space="preserve"> ∙ </m:t>
          </m:r>
          <m:sSubSup>
            <m:sSubSup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B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i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T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>∙I,</m:t>
          </m:r>
        </m:oMath>
      </m:oMathPara>
    </w:p>
    <w:p w:rsidR="00B029D1" w:rsidRPr="00B029D1" w:rsidRDefault="00227018" w:rsidP="00B029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F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i+1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T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 xml:space="preserve">∙I= </m:t>
          </m:r>
          <m:sSubSup>
            <m:sSubSup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F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i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T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 xml:space="preserve">∙I+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4"/>
                </w:rPr>
                <m:t>λ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4"/>
                </w:rPr>
                <m:t>FR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 xml:space="preserve"> </m:t>
          </m:r>
          <m:f>
            <m:f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∆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T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∙I</m:t>
                  </m:r>
                </m:e>
              </m:d>
            </m:num>
            <m:den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F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T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∙I</m:t>
                  </m:r>
                </m:e>
              </m:d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 xml:space="preserve"> ∙ </m:t>
          </m:r>
          <m:sSubSup>
            <m:sSubSup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F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i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T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>∙I+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∆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AF</m:t>
                  </m:r>
                </m:e>
              </m:acc>
            </m:e>
            <m:sub>
              <m:r>
                <w:rPr>
                  <w:rFonts w:ascii="Cambria Math" w:hAnsi="Cambria Math" w:cs="Times New Roman"/>
                  <w:sz w:val="28"/>
                  <w:szCs w:val="24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∆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RF</m:t>
                  </m:r>
                </m:e>
              </m:acc>
            </m:e>
            <m:sub>
              <m:r>
                <w:rPr>
                  <w:rFonts w:ascii="Cambria Math" w:hAnsi="Cambria Math" w:cs="Times New Roman"/>
                  <w:sz w:val="28"/>
                  <w:szCs w:val="24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>-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∆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FR</m:t>
                  </m:r>
                </m:e>
              </m:acc>
            </m:e>
            <m:sub>
              <m:r>
                <w:rPr>
                  <w:rFonts w:ascii="Cambria Math" w:hAnsi="Cambria Math" w:cs="Times New Roman"/>
                  <w:sz w:val="28"/>
                  <w:szCs w:val="24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>-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∆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FA</m:t>
                  </m:r>
                </m:e>
              </m:acc>
            </m:e>
            <m:sub>
              <m:r>
                <w:rPr>
                  <w:rFonts w:ascii="Cambria Math" w:hAnsi="Cambria Math" w:cs="Times New Roman"/>
                  <w:sz w:val="28"/>
                  <w:szCs w:val="24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>,</m:t>
          </m:r>
        </m:oMath>
      </m:oMathPara>
    </w:p>
    <w:p w:rsidR="00B029D1" w:rsidRPr="00B029D1" w:rsidRDefault="00227018" w:rsidP="00B029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R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i+1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T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 xml:space="preserve">∙I= </m:t>
          </m:r>
          <m:sSubSup>
            <m:sSubSup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sSubSupPr>
            <m:e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1+</m:t>
                  </m:r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μ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П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i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∙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R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i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T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 xml:space="preserve">∙I+ </m:t>
          </m:r>
          <m:d>
            <m:d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λ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RA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</m:ctrlPr>
                        </m:sSubSup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Times New Roman"/>
                                  <w:sz w:val="28"/>
                                  <w:szCs w:val="24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4"/>
                                </w:rPr>
                                <m:t>A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i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T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∙I</m:t>
                      </m:r>
                    </m:e>
                  </m:d>
                </m:num>
                <m:den>
                  <m:d>
                    <m:dPr>
                      <m:ctrl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</m:ctrlPr>
                        </m:sSubSup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Times New Roman"/>
                                  <w:sz w:val="28"/>
                                  <w:szCs w:val="24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4"/>
                                </w:rPr>
                                <m:t>R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i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T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∙I</m:t>
                      </m:r>
                    </m:e>
                  </m:d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 xml:space="preserve"> +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λ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RF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</m:ctrlPr>
                        </m:sSubSup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Times New Roman"/>
                                  <w:sz w:val="28"/>
                                  <w:szCs w:val="24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4"/>
                                </w:rPr>
                                <m:t>F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i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T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∙I</m:t>
                      </m:r>
                    </m:e>
                  </m:d>
                </m:num>
                <m:den>
                  <m:d>
                    <m:dPr>
                      <m:ctrl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</m:ctrlPr>
                        </m:sSubSup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Times New Roman"/>
                                  <w:sz w:val="28"/>
                                  <w:szCs w:val="24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4"/>
                                </w:rPr>
                                <m:t>R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i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T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∙I</m:t>
                      </m:r>
                    </m:e>
                  </m:d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 xml:space="preserve"> +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λ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RB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</m:ctrlPr>
                        </m:sSubSup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Times New Roman"/>
                                  <w:sz w:val="28"/>
                                  <w:szCs w:val="24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4"/>
                                </w:rPr>
                                <m:t>B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i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T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∙I</m:t>
                      </m:r>
                    </m:e>
                  </m:d>
                </m:num>
                <m:den>
                  <m:d>
                    <m:dPr>
                      <m:ctrl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</m:ctrlPr>
                        </m:sSubSup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Times New Roman"/>
                                  <w:sz w:val="28"/>
                                  <w:szCs w:val="24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4"/>
                                </w:rPr>
                                <m:t>R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i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T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∙I</m:t>
                      </m:r>
                    </m:e>
                  </m:d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 xml:space="preserve">∙ </m:t>
          </m:r>
          <m:sSubSup>
            <m:sSubSup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R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i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T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>∙I-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∆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RF</m:t>
                  </m:r>
                </m:e>
              </m:acc>
            </m:e>
            <m:sub>
              <m:r>
                <w:rPr>
                  <w:rFonts w:ascii="Cambria Math" w:hAnsi="Cambria Math" w:cs="Times New Roman"/>
                  <w:sz w:val="28"/>
                  <w:szCs w:val="24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>,</m:t>
          </m:r>
        </m:oMath>
      </m:oMathPara>
    </w:p>
    <w:p w:rsidR="00B029D1" w:rsidRPr="00B029D1" w:rsidRDefault="00817CB8" w:rsidP="0081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и изменение внешних ресурсов («природы») замыкает систему уравнений:</w:t>
      </w:r>
    </w:p>
    <w:p w:rsidR="00B029D1" w:rsidRPr="00B029D1" w:rsidRDefault="00227018" w:rsidP="00B029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П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4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+1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П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4"/>
                </w:rPr>
                <m:t>i</m:t>
              </m:r>
            </m:sub>
          </m:sSub>
          <m:d>
            <m:d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1-</m:t>
              </m:r>
              <m:r>
                <w:rPr>
                  <w:rFonts w:ascii="Cambria Math" w:hAnsi="Cambria Math" w:cs="Times New Roman"/>
                  <w:sz w:val="28"/>
                  <w:szCs w:val="24"/>
                </w:rPr>
                <m:t>μ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 xml:space="preserve">+ </m:t>
              </m:r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</m:ctrlPr>
                        </m:sSubSup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Times New Roman"/>
                                  <w:sz w:val="28"/>
                                  <w:szCs w:val="24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4"/>
                                </w:rPr>
                                <m:t>A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i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T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Times New Roman"/>
                                  <w:sz w:val="28"/>
                                  <w:szCs w:val="24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4"/>
                                </w:rPr>
                                <m:t>ξ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i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μ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П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i</m:t>
                      </m:r>
                    </m:sub>
                  </m:sSub>
                </m:num>
                <m:den>
                  <m:d>
                    <m:dPr>
                      <m:ctrl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</m:ctrlPr>
                        </m:sSubSup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Times New Roman"/>
                                  <w:sz w:val="28"/>
                                  <w:szCs w:val="24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4"/>
                                </w:rPr>
                                <m:t>A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i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T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∙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I</m:t>
                          </m:r>
                        </m:e>
                      </m:acc>
                    </m:e>
                  </m:d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ε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</m:ctrlPr>
                        </m:sSubSup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Times New Roman"/>
                                  <w:sz w:val="28"/>
                                  <w:szCs w:val="24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4"/>
                                </w:rPr>
                                <m:t>R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i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T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∙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I</m:t>
                          </m:r>
                        </m:e>
                      </m:acc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μ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П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i</m:t>
                      </m:r>
                    </m:sub>
                  </m:sSub>
                </m:num>
                <m:den>
                  <m:d>
                    <m:dPr>
                      <m:ctrl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</m:ctrlPr>
                        </m:sSubSup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Times New Roman"/>
                                  <w:sz w:val="28"/>
                                  <w:szCs w:val="24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4"/>
                                </w:rPr>
                                <m:t>R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i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T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∙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I</m:t>
                          </m:r>
                        </m:e>
                      </m:acc>
                    </m:e>
                  </m:d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4"/>
            </w:rPr>
            <m:t>.</m:t>
          </m:r>
        </m:oMath>
      </m:oMathPara>
    </w:p>
    <w:p w:rsidR="00817CB8" w:rsidRPr="003F2713" w:rsidRDefault="003F2713" w:rsidP="003F27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</w:t>
      </w:r>
      <w:r w:rsidRPr="003F271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формулах</w:t>
      </w:r>
      <w:r w:rsidRPr="003F271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также</w:t>
      </w:r>
      <w:r w:rsidRPr="003F271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используются</w:t>
      </w:r>
      <w:r w:rsidRPr="003F271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следующие</w:t>
      </w:r>
      <w:r w:rsidRPr="003F271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обозначения</w:t>
      </w:r>
      <w:r w:rsidRPr="003F2713">
        <w:rPr>
          <w:rFonts w:ascii="Times New Roman" w:hAnsi="Times New Roman" w:cs="Times New Roman"/>
          <w:sz w:val="28"/>
          <w:szCs w:val="24"/>
        </w:rPr>
        <w:t xml:space="preserve">: </w:t>
      </w:r>
      <m:oMath>
        <m:r>
          <w:rPr>
            <w:rFonts w:ascii="Cambria Math" w:hAnsi="Cambria Math" w:cs="Times New Roman"/>
            <w:sz w:val="28"/>
            <w:szCs w:val="24"/>
          </w:rPr>
          <m:t>ε</m:t>
        </m:r>
      </m:oMath>
      <w:r w:rsidR="00817CB8" w:rsidRPr="003F271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является</w:t>
      </w:r>
      <w:r w:rsidRPr="003F271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параметром</w:t>
      </w:r>
      <w:r w:rsidRPr="003F271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инфляции</w:t>
      </w:r>
      <w:r w:rsidRPr="003F2713">
        <w:rPr>
          <w:rFonts w:ascii="Times New Roman" w:hAnsi="Times New Roman" w:cs="Times New Roman"/>
          <w:sz w:val="28"/>
          <w:szCs w:val="24"/>
        </w:rPr>
        <w:t xml:space="preserve">, </w:t>
      </w:r>
      <w:r>
        <w:rPr>
          <w:rFonts w:ascii="Times New Roman" w:hAnsi="Times New Roman" w:cs="Times New Roman"/>
          <w:sz w:val="28"/>
          <w:szCs w:val="24"/>
        </w:rPr>
        <w:t>как</w:t>
      </w:r>
      <w:r w:rsidRPr="003F271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мера</w:t>
      </w:r>
      <w:r w:rsidRPr="003F271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общей</w:t>
      </w:r>
      <w:r w:rsidRPr="003F271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по</w:t>
      </w:r>
      <w:r w:rsidRPr="003F271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экономике ошибки</w:t>
      </w:r>
      <w:r w:rsidRPr="003F271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в</w:t>
      </w:r>
      <w:r w:rsidRPr="003F271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оценке</w:t>
      </w:r>
      <w:r w:rsidRPr="003F271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располагаемых ресурсов</w:t>
      </w:r>
      <w:r w:rsidR="00817CB8" w:rsidRPr="003F2713">
        <w:rPr>
          <w:rFonts w:ascii="Times New Roman" w:hAnsi="Times New Roman" w:cs="Times New Roman"/>
          <w:sz w:val="28"/>
          <w:szCs w:val="24"/>
        </w:rPr>
        <w:t xml:space="preserve">;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</w:rPr>
              <m:t>λ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RA</m:t>
            </m:r>
          </m:sub>
        </m:sSub>
      </m:oMath>
      <w:r w:rsidR="00817CB8" w:rsidRPr="003F2713">
        <w:rPr>
          <w:rFonts w:ascii="Times New Roman" w:hAnsi="Times New Roman" w:cs="Times New Roman"/>
          <w:sz w:val="28"/>
          <w:szCs w:val="24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</w:rPr>
              <m:t>λ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RF</m:t>
            </m:r>
          </m:sub>
        </m:sSub>
      </m:oMath>
      <w:r w:rsidR="00817CB8" w:rsidRPr="003F2713">
        <w:rPr>
          <w:rFonts w:ascii="Times New Roman" w:hAnsi="Times New Roman" w:cs="Times New Roman"/>
          <w:sz w:val="28"/>
          <w:szCs w:val="24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</w:rPr>
              <m:t>λ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RB</m:t>
            </m:r>
          </m:sub>
        </m:sSub>
      </m:oMath>
      <w:r w:rsidR="00817CB8" w:rsidRPr="003F2713">
        <w:rPr>
          <w:rFonts w:ascii="Times New Roman" w:hAnsi="Times New Roman" w:cs="Times New Roman"/>
          <w:sz w:val="28"/>
          <w:szCs w:val="24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</w:rPr>
              <m:t>λ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FR</m:t>
            </m:r>
          </m:sub>
        </m:sSub>
      </m:oMath>
      <w:r>
        <w:rPr>
          <w:rFonts w:ascii="Times New Roman" w:hAnsi="Times New Roman" w:cs="Times New Roman"/>
          <w:sz w:val="28"/>
          <w:szCs w:val="24"/>
        </w:rPr>
        <w:t xml:space="preserve"> соответствуют коэффициентам таблицы «затраты-выпуск» между секторами;</w:t>
      </w:r>
      <w:r w:rsidR="00817CB8" w:rsidRPr="003F2713">
        <w:rPr>
          <w:rFonts w:ascii="Times New Roman" w:hAnsi="Times New Roman" w:cs="Times New Roman"/>
          <w:sz w:val="28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4"/>
              </w:rPr>
              <m:t>∆</m:t>
            </m:r>
            <m:acc>
              <m:accPr>
                <m:chr m:val="̅"/>
                <m:ctrlPr>
                  <w:rPr>
                    <w:rFonts w:ascii="Cambria Math" w:hAnsi="Cambria Math" w:cs="Times New Roman"/>
                    <w:sz w:val="28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RF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i</m:t>
            </m:r>
          </m:sub>
        </m:sSub>
      </m:oMath>
      <w:r w:rsidR="00817CB8" w:rsidRPr="003F2713">
        <w:rPr>
          <w:rFonts w:ascii="Times New Roman" w:hAnsi="Times New Roman" w:cs="Times New Roman"/>
          <w:sz w:val="28"/>
          <w:szCs w:val="24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4"/>
              </w:rPr>
              <m:t>∆</m:t>
            </m:r>
            <m:acc>
              <m:accPr>
                <m:chr m:val="̅"/>
                <m:ctrlPr>
                  <w:rPr>
                    <w:rFonts w:ascii="Cambria Math" w:hAnsi="Cambria Math" w:cs="Times New Roman"/>
                    <w:sz w:val="28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FR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4"/>
          </w:rPr>
          <m:t>,</m:t>
        </m:r>
      </m:oMath>
      <w:r w:rsidR="00817CB8" w:rsidRPr="003F2713">
        <w:rPr>
          <w:rFonts w:ascii="Times New Roman" w:hAnsi="Times New Roman" w:cs="Times New Roman"/>
          <w:sz w:val="28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4"/>
              </w:rPr>
              <m:t>∆</m:t>
            </m:r>
            <m:acc>
              <m:accPr>
                <m:chr m:val="̅"/>
                <m:ctrlPr>
                  <w:rPr>
                    <w:rFonts w:ascii="Cambria Math" w:hAnsi="Cambria Math" w:cs="Times New Roman"/>
                    <w:sz w:val="28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FA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i</m:t>
            </m:r>
          </m:sub>
        </m:sSub>
      </m:oMath>
      <w:r w:rsidR="00817CB8" w:rsidRPr="003F271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обозначают потоки капитала между секторами</w:t>
      </w:r>
      <w:r w:rsidR="00817CB8" w:rsidRPr="003F2713">
        <w:rPr>
          <w:rFonts w:ascii="Times New Roman" w:hAnsi="Times New Roman" w:cs="Times New Roman"/>
          <w:sz w:val="28"/>
          <w:szCs w:val="24"/>
        </w:rPr>
        <w:t xml:space="preserve">. </w:t>
      </w:r>
      <w:r>
        <w:rPr>
          <w:rFonts w:ascii="Times New Roman" w:hAnsi="Times New Roman" w:cs="Times New Roman"/>
          <w:sz w:val="28"/>
          <w:szCs w:val="24"/>
        </w:rPr>
        <w:t>В расчётах предполагается, что продовольственный сектор и оставшаяся экономика вкладывают в финансовый сектор излишки, превышающие 20% роста. Продовольственный</w:t>
      </w:r>
      <w:r w:rsidRPr="003F271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сектор</w:t>
      </w:r>
      <w:r w:rsidRPr="003F271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инвестирует</w:t>
      </w:r>
      <w:r w:rsidRPr="003F271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в</w:t>
      </w:r>
      <w:r w:rsidRPr="003F271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исследования</w:t>
      </w:r>
      <w:r w:rsidRPr="003F271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и</w:t>
      </w:r>
      <w:r w:rsidRPr="003F271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разработки</w:t>
      </w:r>
      <w:r w:rsidRPr="003F2713">
        <w:rPr>
          <w:rFonts w:ascii="Times New Roman" w:hAnsi="Times New Roman" w:cs="Times New Roman"/>
          <w:sz w:val="28"/>
          <w:szCs w:val="24"/>
        </w:rPr>
        <w:t xml:space="preserve"> 10% </w:t>
      </w:r>
      <w:r>
        <w:rPr>
          <w:rFonts w:ascii="Times New Roman" w:hAnsi="Times New Roman" w:cs="Times New Roman"/>
          <w:sz w:val="28"/>
          <w:szCs w:val="24"/>
        </w:rPr>
        <w:t>собственного</w:t>
      </w:r>
      <w:r w:rsidRPr="003F271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роста</w:t>
      </w:r>
      <w:r w:rsidRPr="003F271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лишь</w:t>
      </w:r>
      <w:r w:rsidRPr="003F271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в</w:t>
      </w:r>
      <w:r w:rsidRPr="003F271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том случае, когда сектор-получатель инвестиций растёт быстрее сектора-инвестора. Финансовый</w:t>
      </w:r>
      <w:r w:rsidRPr="003F271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сектор</w:t>
      </w:r>
      <w:r w:rsidRPr="003F271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возвращает</w:t>
      </w:r>
      <w:r w:rsidRPr="003F271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инвесторам</w:t>
      </w:r>
      <w:r w:rsidRPr="003F2713">
        <w:rPr>
          <w:rFonts w:ascii="Times New Roman" w:hAnsi="Times New Roman" w:cs="Times New Roman"/>
          <w:sz w:val="28"/>
          <w:szCs w:val="24"/>
        </w:rPr>
        <w:t xml:space="preserve"> 2% </w:t>
      </w:r>
      <w:r>
        <w:rPr>
          <w:rFonts w:ascii="Times New Roman" w:hAnsi="Times New Roman" w:cs="Times New Roman"/>
          <w:sz w:val="28"/>
          <w:szCs w:val="24"/>
        </w:rPr>
        <w:t>своего</w:t>
      </w:r>
      <w:r w:rsidRPr="003F271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роста</w:t>
      </w:r>
      <w:r w:rsidRPr="003F2713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3F2713" w:rsidRDefault="00323914" w:rsidP="00F265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Данные для инициализации компьютерной модели готовятся с детализацией до уровня фирмы в продовольственном секторе и до уровня отрасли в остальных случаях. Обобщённые данные не требуют специальных комментариев, поскольку берутся из официальной статистики. В частности, коэффициенты «затраты-выпуск» для секторов </w:t>
      </w:r>
      <w:r w:rsidRPr="006F07A7">
        <w:rPr>
          <w:rFonts w:ascii="Times New Roman" w:hAnsi="Times New Roman" w:cs="Times New Roman"/>
          <w:sz w:val="28"/>
          <w:szCs w:val="24"/>
        </w:rPr>
        <w:lastRenderedPageBreak/>
        <w:t xml:space="preserve">рассчитываются по таблице </w:t>
      </w:r>
      <w:r w:rsidR="006F07A7" w:rsidRPr="006F07A7">
        <w:rPr>
          <w:rFonts w:ascii="Times New Roman" w:hAnsi="Times New Roman" w:cs="Times New Roman"/>
          <w:sz w:val="28"/>
          <w:szCs w:val="24"/>
        </w:rPr>
        <w:t>использования товаров и услуг</w:t>
      </w:r>
      <w:r w:rsidR="00E87D07">
        <w:rPr>
          <w:rFonts w:ascii="Times New Roman" w:hAnsi="Times New Roman" w:cs="Times New Roman"/>
          <w:sz w:val="28"/>
          <w:szCs w:val="24"/>
        </w:rPr>
        <w:t>,</w:t>
      </w:r>
      <w:r w:rsidRPr="006F07A7">
        <w:rPr>
          <w:rFonts w:ascii="Times New Roman" w:hAnsi="Times New Roman" w:cs="Times New Roman"/>
          <w:sz w:val="28"/>
          <w:szCs w:val="24"/>
        </w:rPr>
        <w:t xml:space="preserve"> официально</w:t>
      </w:r>
      <w:r>
        <w:rPr>
          <w:rFonts w:ascii="Times New Roman" w:hAnsi="Times New Roman" w:cs="Times New Roman"/>
          <w:sz w:val="28"/>
          <w:szCs w:val="24"/>
        </w:rPr>
        <w:t xml:space="preserve"> опубликованно</w:t>
      </w:r>
      <w:r w:rsidR="00E87D07">
        <w:rPr>
          <w:rFonts w:ascii="Times New Roman" w:hAnsi="Times New Roman" w:cs="Times New Roman"/>
          <w:sz w:val="28"/>
          <w:szCs w:val="24"/>
        </w:rPr>
        <w:t>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E87D07">
        <w:rPr>
          <w:rFonts w:ascii="Times New Roman" w:hAnsi="Times New Roman" w:cs="Times New Roman"/>
          <w:sz w:val="28"/>
          <w:szCs w:val="24"/>
        </w:rPr>
        <w:t>для</w:t>
      </w:r>
      <w:r>
        <w:rPr>
          <w:rFonts w:ascii="Times New Roman" w:hAnsi="Times New Roman" w:cs="Times New Roman"/>
          <w:sz w:val="28"/>
          <w:szCs w:val="24"/>
        </w:rPr>
        <w:t xml:space="preserve"> российской экономики за 2016 год. </w:t>
      </w:r>
      <w:r w:rsidR="00C57580">
        <w:rPr>
          <w:rFonts w:ascii="Times New Roman" w:hAnsi="Times New Roman" w:cs="Times New Roman"/>
          <w:sz w:val="28"/>
          <w:szCs w:val="24"/>
        </w:rPr>
        <w:t>Подготовка данных на уровне предприятий продовольственного сектора, напротив, заслуживает отдельного описания.</w:t>
      </w:r>
    </w:p>
    <w:p w:rsidR="00C57580" w:rsidRDefault="00C57580" w:rsidP="00F265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Источником данных служит коммерческая база СПАРК-Интерфакс, которая содержит обилие данных о деятельности предприятий. Выгрузка для анализа сод</w:t>
      </w:r>
      <w:r w:rsidR="00C6259D">
        <w:rPr>
          <w:rFonts w:ascii="Times New Roman" w:hAnsi="Times New Roman" w:cs="Times New Roman"/>
          <w:sz w:val="28"/>
          <w:szCs w:val="24"/>
        </w:rPr>
        <w:t>ержит 35 935 российских компаний</w:t>
      </w:r>
      <w:r>
        <w:rPr>
          <w:rFonts w:ascii="Times New Roman" w:hAnsi="Times New Roman" w:cs="Times New Roman"/>
          <w:sz w:val="28"/>
          <w:szCs w:val="24"/>
        </w:rPr>
        <w:t xml:space="preserve"> различной организационно-правовой формы, чья деятельность покрывается следующими </w:t>
      </w:r>
      <w:r w:rsidRPr="00E87D07">
        <w:rPr>
          <w:rFonts w:ascii="Times New Roman" w:hAnsi="Times New Roman" w:cs="Times New Roman"/>
          <w:sz w:val="28"/>
          <w:szCs w:val="24"/>
        </w:rPr>
        <w:t>кодами</w:t>
      </w:r>
      <w:r w:rsidR="00E87D07">
        <w:rPr>
          <w:rFonts w:ascii="Times New Roman" w:hAnsi="Times New Roman" w:cs="Times New Roman"/>
          <w:sz w:val="28"/>
          <w:szCs w:val="24"/>
        </w:rPr>
        <w:t xml:space="preserve"> ОКВЭД: 01.1-01.5, 10</w:t>
      </w:r>
      <w:r>
        <w:rPr>
          <w:rFonts w:ascii="Times New Roman" w:hAnsi="Times New Roman" w:cs="Times New Roman"/>
          <w:sz w:val="28"/>
          <w:szCs w:val="24"/>
        </w:rPr>
        <w:t xml:space="preserve">. Показатели деятельности предприятий, интересные в контексте построения модели, охватывают выручку рентабельность продаж за 2018 год. Первый служит приближением для вектора распределения капитала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sz w:val="28"/>
                    <w:szCs w:val="24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4"/>
                  </w:rPr>
                  <m:t>A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в начальный момент времени. </w:t>
      </w:r>
      <w:r w:rsidR="00DA1FA2">
        <w:rPr>
          <w:rFonts w:ascii="Times New Roman" w:hAnsi="Times New Roman" w:cs="Times New Roman"/>
          <w:sz w:val="28"/>
          <w:szCs w:val="24"/>
        </w:rPr>
        <w:t>Второй – приближением ошибки фирм в оценке товаров и ресурсов</w:t>
      </w:r>
      <w:r w:rsidR="009755A1">
        <w:rPr>
          <w:rFonts w:ascii="Times New Roman" w:hAnsi="Times New Roman" w:cs="Times New Roman"/>
          <w:sz w:val="28"/>
          <w:szCs w:val="24"/>
        </w:rPr>
        <w:t>, поскольку рентабельность продаж присутствует среди индикаторов результативности предпри</w:t>
      </w:r>
      <w:r w:rsidR="008D63DF">
        <w:rPr>
          <w:rFonts w:ascii="Times New Roman" w:hAnsi="Times New Roman" w:cs="Times New Roman"/>
          <w:sz w:val="28"/>
          <w:szCs w:val="24"/>
        </w:rPr>
        <w:t>я</w:t>
      </w:r>
      <w:r w:rsidR="009755A1">
        <w:rPr>
          <w:rFonts w:ascii="Times New Roman" w:hAnsi="Times New Roman" w:cs="Times New Roman"/>
          <w:sz w:val="28"/>
          <w:szCs w:val="24"/>
        </w:rPr>
        <w:t>тий</w:t>
      </w:r>
      <w:r w:rsidR="00FC3CF3">
        <w:rPr>
          <w:rFonts w:ascii="Times New Roman" w:hAnsi="Times New Roman" w:cs="Times New Roman"/>
          <w:sz w:val="28"/>
          <w:szCs w:val="24"/>
        </w:rPr>
        <w:t xml:space="preserve"> </w:t>
      </w:r>
      <w:r w:rsidR="00FC3CF3" w:rsidRPr="00FC3CF3">
        <w:rPr>
          <w:rFonts w:ascii="Times New Roman" w:hAnsi="Times New Roman" w:cs="Times New Roman"/>
          <w:sz w:val="28"/>
          <w:szCs w:val="24"/>
        </w:rPr>
        <w:t>[</w:t>
      </w:r>
      <w:r w:rsidR="00FC3CF3">
        <w:rPr>
          <w:rFonts w:ascii="Times New Roman" w:hAnsi="Times New Roman" w:cs="Times New Roman"/>
          <w:sz w:val="28"/>
          <w:szCs w:val="24"/>
        </w:rPr>
        <w:fldChar w:fldCharType="begin"/>
      </w:r>
      <w:r w:rsidR="00FC3CF3">
        <w:rPr>
          <w:rFonts w:ascii="Times New Roman" w:hAnsi="Times New Roman" w:cs="Times New Roman"/>
          <w:sz w:val="28"/>
          <w:szCs w:val="24"/>
        </w:rPr>
        <w:instrText xml:space="preserve"> REF _Ref48740475 \r \h </w:instrText>
      </w:r>
      <w:r w:rsidR="00FC3CF3">
        <w:rPr>
          <w:rFonts w:ascii="Times New Roman" w:hAnsi="Times New Roman" w:cs="Times New Roman"/>
          <w:sz w:val="28"/>
          <w:szCs w:val="24"/>
        </w:rPr>
      </w:r>
      <w:r w:rsidR="00FC3CF3">
        <w:rPr>
          <w:rFonts w:ascii="Times New Roman" w:hAnsi="Times New Roman" w:cs="Times New Roman"/>
          <w:sz w:val="28"/>
          <w:szCs w:val="24"/>
        </w:rPr>
        <w:fldChar w:fldCharType="separate"/>
      </w:r>
      <w:r w:rsidR="00FC3CF3">
        <w:rPr>
          <w:rFonts w:ascii="Times New Roman" w:hAnsi="Times New Roman" w:cs="Times New Roman"/>
          <w:sz w:val="28"/>
          <w:szCs w:val="24"/>
        </w:rPr>
        <w:t>3</w:t>
      </w:r>
      <w:r w:rsidR="00FC3CF3">
        <w:rPr>
          <w:rFonts w:ascii="Times New Roman" w:hAnsi="Times New Roman" w:cs="Times New Roman"/>
          <w:sz w:val="28"/>
          <w:szCs w:val="24"/>
        </w:rPr>
        <w:fldChar w:fldCharType="end"/>
      </w:r>
      <w:r w:rsidR="00FC3CF3" w:rsidRPr="00FC3CF3">
        <w:rPr>
          <w:rFonts w:ascii="Times New Roman" w:hAnsi="Times New Roman" w:cs="Times New Roman"/>
          <w:sz w:val="28"/>
          <w:szCs w:val="24"/>
        </w:rPr>
        <w:t>]</w:t>
      </w:r>
      <w:r w:rsidR="00DA1FA2">
        <w:rPr>
          <w:rFonts w:ascii="Times New Roman" w:hAnsi="Times New Roman" w:cs="Times New Roman"/>
          <w:sz w:val="28"/>
          <w:szCs w:val="24"/>
        </w:rPr>
        <w:t xml:space="preserve">. </w:t>
      </w:r>
      <w:r w:rsidR="00491162">
        <w:rPr>
          <w:rFonts w:ascii="Times New Roman" w:hAnsi="Times New Roman" w:cs="Times New Roman"/>
          <w:sz w:val="28"/>
          <w:szCs w:val="24"/>
        </w:rPr>
        <w:t xml:space="preserve">Диаграммы размаха и описательные статистики выявляют выбросы данных. Они состоят в выручке или рентабельности, на </w:t>
      </w:r>
      <w:r w:rsidR="003A44CB">
        <w:rPr>
          <w:rFonts w:ascii="Times New Roman" w:hAnsi="Times New Roman" w:cs="Times New Roman"/>
          <w:sz w:val="28"/>
          <w:szCs w:val="24"/>
        </w:rPr>
        <w:t>несколько</w:t>
      </w:r>
      <w:r w:rsidR="00491162">
        <w:rPr>
          <w:rFonts w:ascii="Times New Roman" w:hAnsi="Times New Roman" w:cs="Times New Roman"/>
          <w:sz w:val="28"/>
          <w:szCs w:val="24"/>
        </w:rPr>
        <w:t xml:space="preserve"> порядк</w:t>
      </w:r>
      <w:r w:rsidR="003A44CB">
        <w:rPr>
          <w:rFonts w:ascii="Times New Roman" w:hAnsi="Times New Roman" w:cs="Times New Roman"/>
          <w:sz w:val="28"/>
          <w:szCs w:val="24"/>
        </w:rPr>
        <w:t>ов</w:t>
      </w:r>
      <w:r w:rsidR="00491162">
        <w:rPr>
          <w:rFonts w:ascii="Times New Roman" w:hAnsi="Times New Roman" w:cs="Times New Roman"/>
          <w:sz w:val="28"/>
          <w:szCs w:val="24"/>
        </w:rPr>
        <w:t xml:space="preserve"> отличающиеся от характерных значений по всем рассматриваемым предприятиям. Так, выручка отдельной фирмы может составить больше половины </w:t>
      </w:r>
      <w:r w:rsidR="003A44CB">
        <w:rPr>
          <w:rFonts w:ascii="Times New Roman" w:hAnsi="Times New Roman" w:cs="Times New Roman"/>
          <w:sz w:val="28"/>
          <w:szCs w:val="24"/>
        </w:rPr>
        <w:t>того</w:t>
      </w:r>
      <w:r w:rsidR="00491162">
        <w:rPr>
          <w:rFonts w:ascii="Times New Roman" w:hAnsi="Times New Roman" w:cs="Times New Roman"/>
          <w:sz w:val="28"/>
          <w:szCs w:val="24"/>
        </w:rPr>
        <w:t xml:space="preserve">, что заработала вся отрасль на продаже продукции, если сравнивать с официальной статистикой. </w:t>
      </w:r>
      <w:r w:rsidR="00615A06">
        <w:rPr>
          <w:rFonts w:ascii="Times New Roman" w:hAnsi="Times New Roman" w:cs="Times New Roman"/>
          <w:sz w:val="28"/>
          <w:szCs w:val="24"/>
        </w:rPr>
        <w:t>На такие случаи вместе с пропущенными данными приходится почти половина записей выгруженного списка преприятий</w:t>
      </w:r>
      <w:r w:rsidR="00491162">
        <w:rPr>
          <w:rFonts w:ascii="Times New Roman" w:hAnsi="Times New Roman" w:cs="Times New Roman"/>
          <w:sz w:val="28"/>
          <w:szCs w:val="24"/>
        </w:rPr>
        <w:t xml:space="preserve">, и о причинах их появления можно лишь догадываться. В частности, формы бухгалтерской отчётности содержат величины в тысячах рублей, в то время как СПАРК-Интерфакс публикует показатели в рублях. Возможно, некорректный разбор исходных документов привёл к ошибкам. Не имея достоверных сведений об их причинах, лучшим вариантом является игнорирование выбросов. </w:t>
      </w:r>
      <w:r w:rsidR="003A44CB">
        <w:rPr>
          <w:rFonts w:ascii="Times New Roman" w:hAnsi="Times New Roman" w:cs="Times New Roman"/>
          <w:sz w:val="28"/>
          <w:szCs w:val="24"/>
        </w:rPr>
        <w:t>Следует</w:t>
      </w:r>
      <w:r w:rsidR="00491162">
        <w:rPr>
          <w:rFonts w:ascii="Times New Roman" w:hAnsi="Times New Roman" w:cs="Times New Roman"/>
          <w:sz w:val="28"/>
          <w:szCs w:val="24"/>
        </w:rPr>
        <w:t xml:space="preserve"> заметить, что </w:t>
      </w:r>
      <w:r w:rsidR="003A44CB">
        <w:rPr>
          <w:rFonts w:ascii="Times New Roman" w:hAnsi="Times New Roman" w:cs="Times New Roman"/>
          <w:sz w:val="28"/>
          <w:szCs w:val="24"/>
        </w:rPr>
        <w:t xml:space="preserve">умеренно </w:t>
      </w:r>
      <w:r w:rsidR="00491162">
        <w:rPr>
          <w:rFonts w:ascii="Times New Roman" w:hAnsi="Times New Roman" w:cs="Times New Roman"/>
          <w:sz w:val="28"/>
          <w:szCs w:val="24"/>
        </w:rPr>
        <w:t>высокие значения выручки (миллиарды рублей) и рентабельности (до сотни процентов) присутствуют в выборке</w:t>
      </w:r>
      <w:r w:rsidR="00DA1FA2">
        <w:rPr>
          <w:rFonts w:ascii="Times New Roman" w:hAnsi="Times New Roman" w:cs="Times New Roman"/>
          <w:sz w:val="28"/>
          <w:szCs w:val="24"/>
        </w:rPr>
        <w:t xml:space="preserve">, получившейся в результате исключения выбросов. </w:t>
      </w:r>
      <w:r w:rsidR="004D6302">
        <w:rPr>
          <w:rFonts w:ascii="Times New Roman" w:hAnsi="Times New Roman" w:cs="Times New Roman"/>
          <w:sz w:val="28"/>
          <w:szCs w:val="24"/>
        </w:rPr>
        <w:t xml:space="preserve">Сравнение производства по отдельным группам товаров с информацией о выпуске товаров и услуг от </w:t>
      </w:r>
      <w:r w:rsidR="003A44CB">
        <w:rPr>
          <w:rFonts w:ascii="Times New Roman" w:hAnsi="Times New Roman" w:cs="Times New Roman"/>
          <w:sz w:val="28"/>
          <w:szCs w:val="24"/>
        </w:rPr>
        <w:t>Федеральной службы государственной статистики</w:t>
      </w:r>
      <w:r w:rsidR="004D6302">
        <w:rPr>
          <w:rFonts w:ascii="Times New Roman" w:hAnsi="Times New Roman" w:cs="Times New Roman"/>
          <w:sz w:val="28"/>
          <w:szCs w:val="24"/>
        </w:rPr>
        <w:t xml:space="preserve"> показывают приемлемый уровень приближения – выборка объясняет </w:t>
      </w:r>
      <w:r w:rsidR="004D6302" w:rsidRPr="00615A06">
        <w:rPr>
          <w:rFonts w:ascii="Times New Roman" w:hAnsi="Times New Roman" w:cs="Times New Roman"/>
          <w:sz w:val="28"/>
          <w:szCs w:val="24"/>
        </w:rPr>
        <w:t xml:space="preserve">до </w:t>
      </w:r>
      <w:r w:rsidR="00615A06" w:rsidRPr="00615A06">
        <w:rPr>
          <w:rFonts w:ascii="Times New Roman" w:hAnsi="Times New Roman" w:cs="Times New Roman"/>
          <w:sz w:val="28"/>
          <w:szCs w:val="24"/>
        </w:rPr>
        <w:t>7</w:t>
      </w:r>
      <w:r w:rsidR="004D6302" w:rsidRPr="00615A06">
        <w:rPr>
          <w:rFonts w:ascii="Times New Roman" w:hAnsi="Times New Roman" w:cs="Times New Roman"/>
          <w:sz w:val="28"/>
          <w:szCs w:val="24"/>
        </w:rPr>
        <w:t>0% выпуска продовольствия</w:t>
      </w:r>
      <w:r w:rsidR="00615A06" w:rsidRPr="00615A06">
        <w:rPr>
          <w:rFonts w:ascii="Times New Roman" w:hAnsi="Times New Roman" w:cs="Times New Roman"/>
          <w:sz w:val="28"/>
          <w:szCs w:val="24"/>
        </w:rPr>
        <w:t xml:space="preserve"> (например, выпуск молока предприятиями выборки составляет 68% от показателя, рассчитанного по данным Росстата в денежном</w:t>
      </w:r>
      <w:r w:rsidR="00615A06">
        <w:rPr>
          <w:rFonts w:ascii="Times New Roman" w:hAnsi="Times New Roman" w:cs="Times New Roman"/>
          <w:sz w:val="28"/>
          <w:szCs w:val="24"/>
        </w:rPr>
        <w:t xml:space="preserve"> выражении)</w:t>
      </w:r>
      <w:r w:rsidR="004D6302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DB67EF" w:rsidRDefault="00DB67EF" w:rsidP="00F265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Используем данные о выручке и рентабельности для построения совместного распределения показателей, которое позволит инициализировать модель. Будем рассматривать децили распределений, которые при совместном анализе приводят к таблице сопряжённости 10 на 10 и, следовательно, к 100 типам фирм.</w:t>
      </w:r>
      <w:r w:rsidR="001E4018">
        <w:rPr>
          <w:rFonts w:ascii="Times New Roman" w:hAnsi="Times New Roman" w:cs="Times New Roman"/>
          <w:sz w:val="28"/>
          <w:szCs w:val="24"/>
        </w:rPr>
        <w:t xml:space="preserve"> Сама структура модели и вычислительные возможности не составляют труда выполнить расчёт для </w:t>
      </w:r>
      <w:r w:rsidR="001E4018">
        <w:rPr>
          <w:rFonts w:ascii="Times New Roman" w:hAnsi="Times New Roman" w:cs="Times New Roman"/>
          <w:sz w:val="28"/>
          <w:szCs w:val="24"/>
        </w:rPr>
        <w:lastRenderedPageBreak/>
        <w:t>всех фирм выборки, но ограничимся 100 репрезентативными фирмами с целью иллюстрации методики анализа.</w:t>
      </w:r>
    </w:p>
    <w:p w:rsidR="0025633C" w:rsidRPr="000574AB" w:rsidRDefault="00383BF0" w:rsidP="002563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0574AB">
        <w:rPr>
          <w:rFonts w:ascii="Times New Roman" w:hAnsi="Times New Roman" w:cs="Times New Roman"/>
          <w:sz w:val="28"/>
          <w:szCs w:val="24"/>
        </w:rPr>
        <w:t>Таблица</w:t>
      </w:r>
      <w:r w:rsidR="001E4018" w:rsidRPr="000574AB">
        <w:rPr>
          <w:rFonts w:ascii="Times New Roman" w:hAnsi="Times New Roman" w:cs="Times New Roman"/>
          <w:sz w:val="28"/>
          <w:szCs w:val="24"/>
        </w:rPr>
        <w:t xml:space="preserve"> 1. </w:t>
      </w:r>
    </w:p>
    <w:p w:rsidR="001E4018" w:rsidRPr="000574AB" w:rsidRDefault="00383BF0" w:rsidP="002563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0574AB">
        <w:rPr>
          <w:rFonts w:ascii="Times New Roman" w:hAnsi="Times New Roman" w:cs="Times New Roman"/>
          <w:sz w:val="28"/>
          <w:szCs w:val="24"/>
        </w:rPr>
        <w:t xml:space="preserve">Совместное распределение </w:t>
      </w:r>
      <w:r w:rsidR="003E7778" w:rsidRPr="000574AB">
        <w:rPr>
          <w:rFonts w:ascii="Times New Roman" w:hAnsi="Times New Roman" w:cs="Times New Roman"/>
          <w:sz w:val="28"/>
          <w:szCs w:val="24"/>
        </w:rPr>
        <w:t>фирм продовольственного сектора</w:t>
      </w:r>
      <w:r w:rsidRPr="000574AB">
        <w:rPr>
          <w:rFonts w:ascii="Times New Roman" w:hAnsi="Times New Roman" w:cs="Times New Roman"/>
          <w:sz w:val="28"/>
          <w:szCs w:val="24"/>
        </w:rPr>
        <w:t xml:space="preserve"> по выручке и рентабельности продаж</w:t>
      </w:r>
      <w:r w:rsidR="003E7778" w:rsidRPr="000574AB">
        <w:rPr>
          <w:rFonts w:ascii="Times New Roman" w:hAnsi="Times New Roman" w:cs="Times New Roman"/>
          <w:sz w:val="28"/>
          <w:szCs w:val="24"/>
        </w:rPr>
        <w:t xml:space="preserve"> в 2018 году</w:t>
      </w:r>
    </w:p>
    <w:tbl>
      <w:tblPr>
        <w:tblW w:w="880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496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1E4018" w:rsidRPr="00125EE9" w:rsidTr="00125EE9">
        <w:trPr>
          <w:trHeight w:val="255"/>
        </w:trPr>
        <w:tc>
          <w:tcPr>
            <w:tcW w:w="1433" w:type="dxa"/>
            <w:gridSpan w:val="2"/>
            <w:vMerge w:val="restart"/>
          </w:tcPr>
          <w:p w:rsidR="001E4018" w:rsidRPr="00125EE9" w:rsidRDefault="001E4018" w:rsidP="00383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0" w:type="dxa"/>
            <w:gridSpan w:val="10"/>
            <w:shd w:val="clear" w:color="auto" w:fill="auto"/>
            <w:noWrap/>
            <w:vAlign w:val="center"/>
          </w:tcPr>
          <w:p w:rsidR="001E4018" w:rsidRPr="00125EE9" w:rsidRDefault="00383BF0" w:rsidP="00383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Децили распределения по рентабельности продаж</w:t>
            </w:r>
          </w:p>
        </w:tc>
      </w:tr>
      <w:tr w:rsidR="001E4018" w:rsidRPr="00125EE9" w:rsidTr="00125EE9">
        <w:trPr>
          <w:trHeight w:val="255"/>
        </w:trPr>
        <w:tc>
          <w:tcPr>
            <w:tcW w:w="1433" w:type="dxa"/>
            <w:gridSpan w:val="2"/>
            <w:vMerge/>
          </w:tcPr>
          <w:p w:rsidR="001E4018" w:rsidRPr="00125EE9" w:rsidRDefault="001E4018" w:rsidP="00383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E4018" w:rsidRPr="00125EE9" w:rsidTr="00125EE9">
        <w:trPr>
          <w:trHeight w:val="255"/>
        </w:trPr>
        <w:tc>
          <w:tcPr>
            <w:tcW w:w="960" w:type="dxa"/>
            <w:vMerge w:val="restart"/>
            <w:textDirection w:val="btLr"/>
            <w:vAlign w:val="center"/>
          </w:tcPr>
          <w:p w:rsidR="001E4018" w:rsidRPr="00125EE9" w:rsidRDefault="00383BF0" w:rsidP="00383B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Децили распределения по выручке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1,54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0,13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0,09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0,04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0,02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0,13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0,23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0,32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0,34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1,41</w:t>
            </w:r>
          </w:p>
        </w:tc>
      </w:tr>
      <w:tr w:rsidR="001E4018" w:rsidRPr="00125EE9" w:rsidTr="00125EE9">
        <w:trPr>
          <w:trHeight w:val="255"/>
        </w:trPr>
        <w:tc>
          <w:tcPr>
            <w:tcW w:w="960" w:type="dxa"/>
            <w:vMerge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0,32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0,19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0,36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0,49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0,45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1,17</w:t>
            </w:r>
          </w:p>
        </w:tc>
      </w:tr>
      <w:tr w:rsidR="001E4018" w:rsidRPr="00125EE9" w:rsidTr="00125EE9">
        <w:trPr>
          <w:trHeight w:val="255"/>
        </w:trPr>
        <w:tc>
          <w:tcPr>
            <w:tcW w:w="960" w:type="dxa"/>
            <w:vMerge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2,90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0,68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0,79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0,45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1,07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1,54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1,79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1,19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1,56</w:t>
            </w:r>
          </w:p>
        </w:tc>
      </w:tr>
      <w:tr w:rsidR="001E4018" w:rsidRPr="00125EE9" w:rsidTr="00125EE9">
        <w:trPr>
          <w:trHeight w:val="255"/>
        </w:trPr>
        <w:tc>
          <w:tcPr>
            <w:tcW w:w="960" w:type="dxa"/>
            <w:vMerge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1,96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0,62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0,58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0,38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0,96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1,45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1,22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0,85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1,09</w:t>
            </w:r>
          </w:p>
        </w:tc>
      </w:tr>
      <w:tr w:rsidR="001E4018" w:rsidRPr="00125EE9" w:rsidTr="00125EE9">
        <w:trPr>
          <w:trHeight w:val="255"/>
        </w:trPr>
        <w:tc>
          <w:tcPr>
            <w:tcW w:w="960" w:type="dxa"/>
            <w:vMerge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1,73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1,32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0,83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0,85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1,17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1,15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1,24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1,13</w:t>
            </w:r>
          </w:p>
        </w:tc>
      </w:tr>
      <w:tr w:rsidR="001E4018" w:rsidRPr="00125EE9" w:rsidTr="00125EE9">
        <w:trPr>
          <w:trHeight w:val="255"/>
        </w:trPr>
        <w:tc>
          <w:tcPr>
            <w:tcW w:w="960" w:type="dxa"/>
            <w:vMerge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1,49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1,02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0,79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1,07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0,77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1,54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1,83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1,39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1,58</w:t>
            </w:r>
          </w:p>
        </w:tc>
      </w:tr>
      <w:tr w:rsidR="001E4018" w:rsidRPr="00125EE9" w:rsidTr="00125EE9">
        <w:trPr>
          <w:trHeight w:val="255"/>
        </w:trPr>
        <w:tc>
          <w:tcPr>
            <w:tcW w:w="960" w:type="dxa"/>
            <w:vMerge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1,58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1,22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0,98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0,87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1,28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1,81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1,15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1,41</w:t>
            </w:r>
          </w:p>
        </w:tc>
      </w:tr>
      <w:tr w:rsidR="001E4018" w:rsidRPr="00125EE9" w:rsidTr="00125EE9">
        <w:trPr>
          <w:trHeight w:val="255"/>
        </w:trPr>
        <w:tc>
          <w:tcPr>
            <w:tcW w:w="960" w:type="dxa"/>
            <w:vMerge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1,02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0,94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0,92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0,98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0,79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1,41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1,32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1,24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0,94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0,87</w:t>
            </w:r>
          </w:p>
        </w:tc>
      </w:tr>
      <w:tr w:rsidR="001E4018" w:rsidRPr="00125EE9" w:rsidTr="00125EE9">
        <w:trPr>
          <w:trHeight w:val="255"/>
        </w:trPr>
        <w:tc>
          <w:tcPr>
            <w:tcW w:w="960" w:type="dxa"/>
            <w:vMerge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0,58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0,94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0,98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1,54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1,13</w:t>
            </w:r>
          </w:p>
        </w:tc>
      </w:tr>
      <w:tr w:rsidR="001E4018" w:rsidRPr="00125EE9" w:rsidTr="00125EE9">
        <w:trPr>
          <w:trHeight w:val="255"/>
        </w:trPr>
        <w:tc>
          <w:tcPr>
            <w:tcW w:w="960" w:type="dxa"/>
            <w:vMerge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0,28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0,53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0,77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1,22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1,34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0,85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0,72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1E4018" w:rsidRPr="00125EE9" w:rsidRDefault="001E4018" w:rsidP="00383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0,60</w:t>
            </w:r>
          </w:p>
        </w:tc>
      </w:tr>
    </w:tbl>
    <w:p w:rsidR="001E4018" w:rsidRDefault="001E4018" w:rsidP="000574AB">
      <w:pPr>
        <w:spacing w:after="0"/>
        <w:rPr>
          <w:lang w:val="en-US"/>
        </w:rPr>
      </w:pPr>
    </w:p>
    <w:p w:rsidR="001E4018" w:rsidRPr="00125EE9" w:rsidRDefault="003E7778" w:rsidP="00E27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25EE9">
        <w:rPr>
          <w:rFonts w:ascii="Times New Roman" w:hAnsi="Times New Roman" w:cs="Times New Roman"/>
          <w:sz w:val="28"/>
          <w:szCs w:val="24"/>
        </w:rPr>
        <w:t>Каждая ячейка Таблицы 1 содержит процент предприятий, попадающих в соответствующие децили распределений по рентабельности или выручке. Для вычисления динамики среди 100 типов предприятий в модели инициализируется 1000 репрезентативных фирм</w:t>
      </w:r>
      <w:r w:rsidR="00B101B7">
        <w:rPr>
          <w:rFonts w:ascii="Times New Roman" w:hAnsi="Times New Roman" w:cs="Times New Roman"/>
          <w:sz w:val="28"/>
          <w:szCs w:val="24"/>
        </w:rPr>
        <w:t xml:space="preserve"> – по 100 для каждого из 10 возможных децилей распределения по рентабельности</w:t>
      </w:r>
      <w:r w:rsidR="00C45425" w:rsidRPr="00125EE9">
        <w:rPr>
          <w:rFonts w:ascii="Times New Roman" w:hAnsi="Times New Roman" w:cs="Times New Roman"/>
          <w:sz w:val="28"/>
          <w:szCs w:val="24"/>
        </w:rPr>
        <w:t>. В начальный момент времени выручка варьируется от 1,4 млн. до 1 млрд. рублей, рентабельность продаж – от -0,1</w:t>
      </w:r>
      <w:r w:rsidR="00E27421">
        <w:rPr>
          <w:rFonts w:ascii="Times New Roman" w:hAnsi="Times New Roman" w:cs="Times New Roman"/>
          <w:sz w:val="28"/>
          <w:szCs w:val="24"/>
        </w:rPr>
        <w:t>%</w:t>
      </w:r>
      <w:r w:rsidR="00C45425" w:rsidRPr="00125EE9">
        <w:rPr>
          <w:rFonts w:ascii="Times New Roman" w:hAnsi="Times New Roman" w:cs="Times New Roman"/>
          <w:sz w:val="28"/>
          <w:szCs w:val="24"/>
        </w:rPr>
        <w:t xml:space="preserve"> до 0,3</w:t>
      </w:r>
      <w:r w:rsidR="00E27421">
        <w:rPr>
          <w:rFonts w:ascii="Times New Roman" w:hAnsi="Times New Roman" w:cs="Times New Roman"/>
          <w:sz w:val="28"/>
          <w:szCs w:val="24"/>
        </w:rPr>
        <w:t>%.</w:t>
      </w:r>
      <w:r w:rsidR="00C45425" w:rsidRPr="00125EE9">
        <w:rPr>
          <w:rFonts w:ascii="Times New Roman" w:hAnsi="Times New Roman" w:cs="Times New Roman"/>
          <w:sz w:val="28"/>
          <w:szCs w:val="24"/>
        </w:rPr>
        <w:t xml:space="preserve"> Начальное распределение капитала по секторам пропорционально значениям таблицы «затраты-выпуск»: финансовый сектор в 2 раза меньше пищевого, исследовательский – в 50 раз меньше, остальная экономика – в 12 раз больше. </w:t>
      </w:r>
      <w:r w:rsidR="00125EE9" w:rsidRPr="00125EE9">
        <w:rPr>
          <w:rFonts w:ascii="Times New Roman" w:hAnsi="Times New Roman" w:cs="Times New Roman"/>
          <w:sz w:val="28"/>
          <w:szCs w:val="24"/>
        </w:rPr>
        <w:t xml:space="preserve">Внешние ресурсы установлены на уровне в 100 раз больше выпуска пищевого сектора. </w:t>
      </w:r>
    </w:p>
    <w:p w:rsidR="00125EE9" w:rsidRDefault="00125EE9" w:rsidP="00643B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Вычислительный эксперимент выполнен средствами программного пакета </w:t>
      </w:r>
      <w:r>
        <w:rPr>
          <w:rFonts w:ascii="Times New Roman" w:hAnsi="Times New Roman" w:cs="Times New Roman"/>
          <w:sz w:val="28"/>
          <w:szCs w:val="24"/>
          <w:lang w:val="en-US"/>
        </w:rPr>
        <w:t>Octave</w:t>
      </w:r>
      <w:r w:rsidRPr="00125EE9">
        <w:rPr>
          <w:rFonts w:ascii="Times New Roman" w:hAnsi="Times New Roman" w:cs="Times New Roman"/>
          <w:sz w:val="28"/>
          <w:szCs w:val="24"/>
        </w:rPr>
        <w:t xml:space="preserve"> (</w:t>
      </w:r>
      <w:r>
        <w:rPr>
          <w:rFonts w:ascii="Times New Roman" w:hAnsi="Times New Roman" w:cs="Times New Roman"/>
          <w:sz w:val="28"/>
          <w:szCs w:val="24"/>
        </w:rPr>
        <w:t>версии 4.2.0). Рисунки демонстрируют динамику отдельных фирм</w:t>
      </w:r>
      <w:r w:rsidR="00B101B7">
        <w:rPr>
          <w:rFonts w:ascii="Times New Roman" w:hAnsi="Times New Roman" w:cs="Times New Roman"/>
          <w:sz w:val="28"/>
          <w:szCs w:val="24"/>
        </w:rPr>
        <w:t xml:space="preserve"> (Рисунок 1) и продовольственного сектора в целом (Рисунок 2). Вертикальная ось показывает распределение капитала. Вычисления охватывают 20 итераций, что соответствует 20 годам прогнозирования, поскольку именно годовые данные использованы для инициализации модели. Динамика довольно быстрая в начале вычислений, но убывает со временем. Как сказано выше, для каждого дециля из распределения фирм по рентабельности продаж существует 10 возможных децилей распределения по выручке и около 100 агентов-фирм. Таким образом, в начальный момент времени примерно 100 агентов стартуют из одного значения рентабельности, но разных значений выручки.</w:t>
      </w:r>
      <w:r w:rsidR="00AB29A0">
        <w:rPr>
          <w:rFonts w:ascii="Times New Roman" w:hAnsi="Times New Roman" w:cs="Times New Roman"/>
          <w:sz w:val="28"/>
          <w:szCs w:val="24"/>
        </w:rPr>
        <w:t xml:space="preserve"> При фиксированной рентабельности эта вариация по выручке приводит к </w:t>
      </w:r>
      <w:r w:rsidR="00AB29A0">
        <w:rPr>
          <w:rFonts w:ascii="Times New Roman" w:hAnsi="Times New Roman" w:cs="Times New Roman"/>
          <w:sz w:val="28"/>
          <w:szCs w:val="24"/>
        </w:rPr>
        <w:lastRenderedPageBreak/>
        <w:t xml:space="preserve">«наслоению» поверхностей, заметному на Рисунке 1. Результаты, безусловно, носят иллюстративный характер вследствие очевидных упрощений. В частности, роль сектора исследований и разработок принижена, </w:t>
      </w:r>
      <w:r w:rsidR="00643B1B">
        <w:rPr>
          <w:rFonts w:ascii="Times New Roman" w:hAnsi="Times New Roman" w:cs="Times New Roman"/>
          <w:sz w:val="28"/>
          <w:szCs w:val="24"/>
        </w:rPr>
        <w:t xml:space="preserve">таблицы «затраты-выпуск» неизменны во времени, как не меняются и индивидуальные ошибки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sz w:val="28"/>
                    <w:szCs w:val="24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4"/>
                  </w:rPr>
                  <m:t>ξ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4"/>
              </w:rPr>
              <m:t>i</m:t>
            </m:r>
          </m:sub>
        </m:sSub>
      </m:oMath>
      <w:r w:rsidRPr="00643B1B">
        <w:rPr>
          <w:rFonts w:ascii="Times New Roman" w:hAnsi="Times New Roman" w:cs="Times New Roman"/>
          <w:sz w:val="28"/>
          <w:szCs w:val="24"/>
        </w:rPr>
        <w:t>.</w:t>
      </w:r>
      <w:r w:rsidR="00643B1B">
        <w:rPr>
          <w:rFonts w:ascii="Times New Roman" w:hAnsi="Times New Roman" w:cs="Times New Roman"/>
          <w:sz w:val="28"/>
          <w:szCs w:val="24"/>
        </w:rPr>
        <w:t xml:space="preserve"> Ни один сектор в модельном расчёте не преуспевает в результате вложений в НИОКР, что приводит к единственному технологическому циклу, заметному на Рисунке 2. Безусловно, это не соответствует реальности, и дальнейшие модификации должны предусматривать эндогенную цикличность экономики и пересчёт таблиц «затраты-выпуск».</w:t>
      </w:r>
    </w:p>
    <w:p w:rsidR="00125EE9" w:rsidRDefault="009505E6" w:rsidP="0025633C">
      <w:pPr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3B49FF9A" wp14:editId="20DF85EC">
            <wp:extent cx="3886569" cy="3063834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+подпись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8563" cy="3073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5EE9" w:rsidRPr="00615A06" w:rsidRDefault="000574AB" w:rsidP="002563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Рис.</w:t>
      </w:r>
      <w:r w:rsidR="00643B1B" w:rsidRPr="00615A06">
        <w:rPr>
          <w:rFonts w:ascii="Times New Roman" w:hAnsi="Times New Roman" w:cs="Times New Roman"/>
          <w:b/>
          <w:sz w:val="24"/>
          <w:szCs w:val="24"/>
        </w:rPr>
        <w:t xml:space="preserve"> 1.</w:t>
      </w:r>
      <w:r w:rsidR="00643B1B" w:rsidRPr="000574AB">
        <w:rPr>
          <w:rFonts w:ascii="Times New Roman" w:hAnsi="Times New Roman" w:cs="Times New Roman"/>
          <w:sz w:val="24"/>
          <w:szCs w:val="24"/>
        </w:rPr>
        <w:t xml:space="preserve"> Динамика выручки агентов-фирм в вычислительном эксперименте</w:t>
      </w:r>
    </w:p>
    <w:p w:rsidR="00125EE9" w:rsidRDefault="009505E6" w:rsidP="0025633C">
      <w:pPr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3A217372" wp14:editId="3056A58C">
            <wp:extent cx="4102614" cy="3135085"/>
            <wp:effectExtent l="0" t="0" r="0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+подпись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4570" cy="3151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5A06" w:rsidRPr="00615A06" w:rsidRDefault="000574AB" w:rsidP="00615A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Рис.</w:t>
      </w:r>
      <w:r w:rsidR="00643B1B" w:rsidRPr="00615A06">
        <w:rPr>
          <w:rFonts w:ascii="Times New Roman" w:hAnsi="Times New Roman" w:cs="Times New Roman"/>
          <w:b/>
          <w:sz w:val="24"/>
          <w:szCs w:val="24"/>
        </w:rPr>
        <w:t xml:space="preserve"> 2. </w:t>
      </w:r>
      <w:r w:rsidR="00643B1B" w:rsidRPr="000574AB">
        <w:rPr>
          <w:rFonts w:ascii="Times New Roman" w:hAnsi="Times New Roman" w:cs="Times New Roman"/>
          <w:sz w:val="24"/>
          <w:szCs w:val="24"/>
        </w:rPr>
        <w:t>Динамика продовольственного сектор</w:t>
      </w:r>
      <w:r>
        <w:rPr>
          <w:rFonts w:ascii="Times New Roman" w:hAnsi="Times New Roman" w:cs="Times New Roman"/>
          <w:sz w:val="24"/>
          <w:szCs w:val="24"/>
        </w:rPr>
        <w:t>а в вычислительном эксперименте</w:t>
      </w:r>
    </w:p>
    <w:p w:rsidR="00FF5B22" w:rsidRPr="008D63DF" w:rsidRDefault="00FF5B22" w:rsidP="001F522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10554D">
        <w:rPr>
          <w:rFonts w:ascii="Times New Roman" w:hAnsi="Times New Roman" w:cs="Times New Roman"/>
          <w:b/>
          <w:i/>
          <w:sz w:val="24"/>
          <w:szCs w:val="24"/>
        </w:rPr>
        <w:lastRenderedPageBreak/>
        <w:t>Список</w:t>
      </w:r>
      <w:r w:rsidRPr="008D63DF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1F522C" w:rsidRPr="0010554D">
        <w:rPr>
          <w:rFonts w:ascii="Times New Roman" w:hAnsi="Times New Roman" w:cs="Times New Roman"/>
          <w:b/>
          <w:i/>
          <w:sz w:val="24"/>
          <w:szCs w:val="24"/>
        </w:rPr>
        <w:t>использованной</w:t>
      </w:r>
      <w:r w:rsidR="001F522C" w:rsidRPr="008D63DF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10554D">
        <w:rPr>
          <w:rFonts w:ascii="Times New Roman" w:hAnsi="Times New Roman" w:cs="Times New Roman"/>
          <w:b/>
          <w:i/>
          <w:sz w:val="24"/>
          <w:szCs w:val="24"/>
        </w:rPr>
        <w:t>литературы</w:t>
      </w:r>
      <w:r w:rsidR="000574AB">
        <w:rPr>
          <w:rFonts w:ascii="Times New Roman" w:hAnsi="Times New Roman" w:cs="Times New Roman"/>
          <w:b/>
          <w:i/>
          <w:sz w:val="24"/>
          <w:szCs w:val="24"/>
          <w:lang w:val="en-US"/>
        </w:rPr>
        <w:t>:</w:t>
      </w:r>
    </w:p>
    <w:p w:rsidR="00FC3CF3" w:rsidRPr="000574AB" w:rsidRDefault="00FC3CF3" w:rsidP="000574AB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Ref48740439"/>
      <w:r w:rsidRPr="000574AB">
        <w:rPr>
          <w:rFonts w:ascii="Times New Roman" w:hAnsi="Times New Roman" w:cs="Times New Roman"/>
          <w:sz w:val="24"/>
          <w:szCs w:val="24"/>
          <w:lang w:val="en-US"/>
        </w:rPr>
        <w:t>DeMaeyer E.M., Dallman P., Gurney J.M., Hallberg L., Sood S.K., Srikantia S.G. Preventing and controlling iron deficiency anaemi</w:t>
      </w:r>
      <w:r w:rsidR="0066601B" w:rsidRPr="000574AB">
        <w:rPr>
          <w:rFonts w:ascii="Times New Roman" w:hAnsi="Times New Roman" w:cs="Times New Roman"/>
          <w:sz w:val="24"/>
          <w:szCs w:val="24"/>
          <w:lang w:val="en-US"/>
        </w:rPr>
        <w:t>a through primary health care.</w:t>
      </w:r>
      <w:r w:rsidRPr="000574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6601B" w:rsidRPr="000574AB">
        <w:rPr>
          <w:rFonts w:ascii="Times New Roman" w:hAnsi="Times New Roman" w:cs="Times New Roman"/>
          <w:sz w:val="24"/>
          <w:szCs w:val="24"/>
          <w:lang w:val="en-US"/>
        </w:rPr>
        <w:t>Geneva: World Health Organization.</w:t>
      </w:r>
      <w:r w:rsidRPr="000574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6601B" w:rsidRPr="000574AB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0574AB">
        <w:rPr>
          <w:rFonts w:ascii="Times New Roman" w:hAnsi="Times New Roman" w:cs="Times New Roman"/>
          <w:sz w:val="24"/>
          <w:szCs w:val="24"/>
          <w:lang w:val="en-US"/>
        </w:rPr>
        <w:t xml:space="preserve"> 1989. – 58p.</w:t>
      </w:r>
      <w:bookmarkEnd w:id="1"/>
    </w:p>
    <w:p w:rsidR="00FC3CF3" w:rsidRPr="000574AB" w:rsidRDefault="00FC3CF3" w:rsidP="000574AB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2" w:name="_Ref48740421"/>
      <w:r w:rsidRPr="000574AB">
        <w:rPr>
          <w:rFonts w:ascii="Times New Roman" w:hAnsi="Times New Roman" w:cs="Times New Roman"/>
          <w:sz w:val="24"/>
          <w:szCs w:val="24"/>
          <w:lang w:val="en-US"/>
        </w:rPr>
        <w:t>Eliasson G. Micro to macro evolutionary modeling: on the economics of self Organization of Dynamic Markets by ignorant actors /</w:t>
      </w:r>
      <w:r w:rsidR="0066601B" w:rsidRPr="000574AB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0574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6601B" w:rsidRPr="000574AB">
        <w:rPr>
          <w:rFonts w:ascii="Times New Roman" w:hAnsi="Times New Roman" w:cs="Times New Roman"/>
          <w:sz w:val="24"/>
          <w:szCs w:val="24"/>
          <w:lang w:val="en-US"/>
        </w:rPr>
        <w:t>Foundations of Economic Change /</w:t>
      </w:r>
      <w:r w:rsidRPr="000574AB">
        <w:rPr>
          <w:rFonts w:ascii="Times New Roman" w:hAnsi="Times New Roman" w:cs="Times New Roman"/>
          <w:sz w:val="24"/>
          <w:szCs w:val="24"/>
          <w:lang w:val="en-US"/>
        </w:rPr>
        <w:t xml:space="preserve"> Ed. A. Pyka, U. C</w:t>
      </w:r>
      <w:r w:rsidR="0066601B" w:rsidRPr="000574AB">
        <w:rPr>
          <w:rFonts w:ascii="Times New Roman" w:hAnsi="Times New Roman" w:cs="Times New Roman"/>
          <w:sz w:val="24"/>
          <w:szCs w:val="24"/>
          <w:lang w:val="en-US"/>
        </w:rPr>
        <w:t xml:space="preserve">antner. Cham: </w:t>
      </w:r>
      <w:r w:rsidRPr="000574AB">
        <w:rPr>
          <w:rFonts w:ascii="Times New Roman" w:hAnsi="Times New Roman" w:cs="Times New Roman"/>
          <w:sz w:val="24"/>
          <w:szCs w:val="24"/>
          <w:lang w:val="en-US"/>
        </w:rPr>
        <w:t>Springer</w:t>
      </w:r>
      <w:r w:rsidR="0066601B" w:rsidRPr="000574AB">
        <w:rPr>
          <w:rFonts w:ascii="Times New Roman" w:hAnsi="Times New Roman" w:cs="Times New Roman"/>
          <w:sz w:val="24"/>
          <w:szCs w:val="24"/>
          <w:lang w:val="en-US"/>
        </w:rPr>
        <w:t xml:space="preserve">. – </w:t>
      </w:r>
      <w:r w:rsidRPr="000574AB">
        <w:rPr>
          <w:rFonts w:ascii="Times New Roman" w:hAnsi="Times New Roman" w:cs="Times New Roman"/>
          <w:sz w:val="24"/>
          <w:szCs w:val="24"/>
          <w:lang w:val="en-US"/>
        </w:rPr>
        <w:t>2017. – pp. 123-185.</w:t>
      </w:r>
      <w:bookmarkEnd w:id="2"/>
    </w:p>
    <w:p w:rsidR="00FC3CF3" w:rsidRPr="000574AB" w:rsidRDefault="00FC3CF3" w:rsidP="000574AB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48740475"/>
      <w:r w:rsidRPr="000574AB">
        <w:rPr>
          <w:rFonts w:ascii="Times New Roman" w:hAnsi="Times New Roman" w:cs="Times New Roman"/>
          <w:sz w:val="24"/>
          <w:szCs w:val="24"/>
          <w:lang w:val="en-US"/>
        </w:rPr>
        <w:t xml:space="preserve">Khan M. W. J., Khalique M., Nor R. M. Exploring the measurements of organizational performance: Small and medium enterprises (SMEs) perspective // Market Forces. – 2014. – Vol. 9. – №. </w:t>
      </w:r>
      <w:r w:rsidRPr="000574AB">
        <w:rPr>
          <w:rFonts w:ascii="Times New Roman" w:hAnsi="Times New Roman" w:cs="Times New Roman"/>
          <w:sz w:val="24"/>
          <w:szCs w:val="24"/>
        </w:rPr>
        <w:t>2. – pp. 31-38</w:t>
      </w:r>
      <w:bookmarkEnd w:id="3"/>
    </w:p>
    <w:p w:rsidR="00FC3CF3" w:rsidRPr="000574AB" w:rsidRDefault="00FC3CF3" w:rsidP="000574AB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48740458"/>
      <w:r w:rsidRPr="000574AB">
        <w:rPr>
          <w:rFonts w:ascii="Times New Roman" w:hAnsi="Times New Roman" w:cs="Times New Roman"/>
          <w:sz w:val="24"/>
          <w:szCs w:val="24"/>
        </w:rPr>
        <w:t>Грачёв И.Д. Вероятностно-статистическая модель рынка. Методология и эконофизический инструментарий моделиро</w:t>
      </w:r>
      <w:r w:rsidR="0066601B" w:rsidRPr="000574AB">
        <w:rPr>
          <w:rFonts w:ascii="Times New Roman" w:hAnsi="Times New Roman" w:cs="Times New Roman"/>
          <w:sz w:val="24"/>
          <w:szCs w:val="24"/>
        </w:rPr>
        <w:t>вания экономического прогресса.</w:t>
      </w:r>
      <w:r w:rsidRPr="000574AB">
        <w:rPr>
          <w:rFonts w:ascii="Times New Roman" w:hAnsi="Times New Roman" w:cs="Times New Roman"/>
          <w:sz w:val="24"/>
          <w:szCs w:val="24"/>
        </w:rPr>
        <w:t xml:space="preserve"> </w:t>
      </w:r>
      <w:r w:rsidR="0066601B" w:rsidRPr="000574AB">
        <w:rPr>
          <w:rFonts w:ascii="Times New Roman" w:hAnsi="Times New Roman" w:cs="Times New Roman"/>
          <w:sz w:val="24"/>
          <w:szCs w:val="24"/>
        </w:rPr>
        <w:t xml:space="preserve">Саабрюкен: </w:t>
      </w:r>
      <w:r w:rsidRPr="000574AB">
        <w:rPr>
          <w:rFonts w:ascii="Times New Roman" w:hAnsi="Times New Roman" w:cs="Times New Roman"/>
          <w:sz w:val="24"/>
          <w:szCs w:val="24"/>
        </w:rPr>
        <w:t xml:space="preserve">Изд-во «Lambert». </w:t>
      </w:r>
      <w:r w:rsidR="0066601B" w:rsidRPr="000574AB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0574AB">
        <w:rPr>
          <w:rFonts w:ascii="Times New Roman" w:hAnsi="Times New Roman" w:cs="Times New Roman"/>
          <w:sz w:val="24"/>
          <w:szCs w:val="24"/>
        </w:rPr>
        <w:t xml:space="preserve"> 2011. – 340 с.</w:t>
      </w:r>
      <w:bookmarkEnd w:id="4"/>
    </w:p>
    <w:p w:rsidR="00FC3CF3" w:rsidRPr="000574AB" w:rsidRDefault="00FC3CF3" w:rsidP="000574AB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48740408"/>
      <w:r w:rsidRPr="000574AB">
        <w:rPr>
          <w:rFonts w:ascii="Times New Roman" w:hAnsi="Times New Roman" w:cs="Times New Roman"/>
          <w:sz w:val="24"/>
          <w:szCs w:val="24"/>
        </w:rPr>
        <w:t>Макаров А. А. Модельно-информационный комплекс для исследования перспектив энергетического комплекса России. Управление развитием крупномасштабных систем: монография // Управление развитием крупномасштабных систем/ под ред. А.Д. Цвиркуна.</w:t>
      </w:r>
      <w:r w:rsidR="0066601B" w:rsidRPr="000574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574AB">
        <w:rPr>
          <w:rFonts w:ascii="Times New Roman" w:hAnsi="Times New Roman" w:cs="Times New Roman"/>
          <w:sz w:val="24"/>
          <w:szCs w:val="24"/>
        </w:rPr>
        <w:t>М.: Физматлит. – 2012. – с.102-184</w:t>
      </w:r>
      <w:bookmarkEnd w:id="5"/>
    </w:p>
    <w:sectPr w:rsidR="00FC3CF3" w:rsidRPr="000574AB" w:rsidSect="00F265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018" w:rsidRDefault="00227018" w:rsidP="00604029">
      <w:pPr>
        <w:spacing w:after="0" w:line="240" w:lineRule="auto"/>
      </w:pPr>
      <w:r>
        <w:separator/>
      </w:r>
    </w:p>
  </w:endnote>
  <w:endnote w:type="continuationSeparator" w:id="0">
    <w:p w:rsidR="00227018" w:rsidRDefault="00227018" w:rsidP="00604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018" w:rsidRDefault="00227018" w:rsidP="00604029">
      <w:pPr>
        <w:spacing w:after="0" w:line="240" w:lineRule="auto"/>
      </w:pPr>
      <w:r>
        <w:separator/>
      </w:r>
    </w:p>
  </w:footnote>
  <w:footnote w:type="continuationSeparator" w:id="0">
    <w:p w:rsidR="00227018" w:rsidRDefault="00227018" w:rsidP="006040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35CE8"/>
    <w:multiLevelType w:val="hybridMultilevel"/>
    <w:tmpl w:val="0FAA4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B7117"/>
    <w:multiLevelType w:val="hybridMultilevel"/>
    <w:tmpl w:val="4CF482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4F458E9"/>
    <w:multiLevelType w:val="hybridMultilevel"/>
    <w:tmpl w:val="3A38BF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5B250A4"/>
    <w:multiLevelType w:val="hybridMultilevel"/>
    <w:tmpl w:val="9C4A42A6"/>
    <w:lvl w:ilvl="0" w:tplc="D6BCA2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EAD"/>
    <w:rsid w:val="00000DF5"/>
    <w:rsid w:val="00007E07"/>
    <w:rsid w:val="00033D0F"/>
    <w:rsid w:val="0004598C"/>
    <w:rsid w:val="00047A61"/>
    <w:rsid w:val="000533C0"/>
    <w:rsid w:val="000574AB"/>
    <w:rsid w:val="000837C3"/>
    <w:rsid w:val="000942DF"/>
    <w:rsid w:val="000F6FB0"/>
    <w:rsid w:val="0010554D"/>
    <w:rsid w:val="0012075C"/>
    <w:rsid w:val="00125EE9"/>
    <w:rsid w:val="00136125"/>
    <w:rsid w:val="00156D84"/>
    <w:rsid w:val="00177EBE"/>
    <w:rsid w:val="001A086E"/>
    <w:rsid w:val="001C0AD5"/>
    <w:rsid w:val="001D2800"/>
    <w:rsid w:val="001E4018"/>
    <w:rsid w:val="001F522C"/>
    <w:rsid w:val="00205002"/>
    <w:rsid w:val="00214A8D"/>
    <w:rsid w:val="00227018"/>
    <w:rsid w:val="0022773B"/>
    <w:rsid w:val="002443DB"/>
    <w:rsid w:val="002539D9"/>
    <w:rsid w:val="0025633C"/>
    <w:rsid w:val="00266BB0"/>
    <w:rsid w:val="00290CED"/>
    <w:rsid w:val="002B1A52"/>
    <w:rsid w:val="002B2258"/>
    <w:rsid w:val="002D65E7"/>
    <w:rsid w:val="00323914"/>
    <w:rsid w:val="003279A0"/>
    <w:rsid w:val="0035347A"/>
    <w:rsid w:val="0035437D"/>
    <w:rsid w:val="003560A7"/>
    <w:rsid w:val="00361D6C"/>
    <w:rsid w:val="00367263"/>
    <w:rsid w:val="00376BB9"/>
    <w:rsid w:val="003805A8"/>
    <w:rsid w:val="00383BF0"/>
    <w:rsid w:val="00385F93"/>
    <w:rsid w:val="00392B22"/>
    <w:rsid w:val="0039762D"/>
    <w:rsid w:val="003A44CB"/>
    <w:rsid w:val="003B1E42"/>
    <w:rsid w:val="003C1D43"/>
    <w:rsid w:val="003C2B83"/>
    <w:rsid w:val="003D4B8F"/>
    <w:rsid w:val="003E7778"/>
    <w:rsid w:val="003F24BF"/>
    <w:rsid w:val="003F2713"/>
    <w:rsid w:val="0040526E"/>
    <w:rsid w:val="0041011D"/>
    <w:rsid w:val="00423BCE"/>
    <w:rsid w:val="004353F5"/>
    <w:rsid w:val="00485E6C"/>
    <w:rsid w:val="00491162"/>
    <w:rsid w:val="00495F73"/>
    <w:rsid w:val="004D6302"/>
    <w:rsid w:val="004E3829"/>
    <w:rsid w:val="004E5B19"/>
    <w:rsid w:val="004F27B7"/>
    <w:rsid w:val="00507377"/>
    <w:rsid w:val="00515EAD"/>
    <w:rsid w:val="00525C8A"/>
    <w:rsid w:val="00536A1E"/>
    <w:rsid w:val="005538FA"/>
    <w:rsid w:val="00554C93"/>
    <w:rsid w:val="0056627C"/>
    <w:rsid w:val="00570477"/>
    <w:rsid w:val="0057691C"/>
    <w:rsid w:val="005771AD"/>
    <w:rsid w:val="005A1DFE"/>
    <w:rsid w:val="005B0E57"/>
    <w:rsid w:val="005B3954"/>
    <w:rsid w:val="005C2F33"/>
    <w:rsid w:val="005C491F"/>
    <w:rsid w:val="00600303"/>
    <w:rsid w:val="00604029"/>
    <w:rsid w:val="00612103"/>
    <w:rsid w:val="00615A06"/>
    <w:rsid w:val="0064115D"/>
    <w:rsid w:val="006437B0"/>
    <w:rsid w:val="00643941"/>
    <w:rsid w:val="00643B1B"/>
    <w:rsid w:val="006541FC"/>
    <w:rsid w:val="0066601B"/>
    <w:rsid w:val="00684BE4"/>
    <w:rsid w:val="006931E0"/>
    <w:rsid w:val="006C1D05"/>
    <w:rsid w:val="006C738E"/>
    <w:rsid w:val="006D3452"/>
    <w:rsid w:val="006E45D9"/>
    <w:rsid w:val="006F07A7"/>
    <w:rsid w:val="006F1DE8"/>
    <w:rsid w:val="00711C4A"/>
    <w:rsid w:val="0074195D"/>
    <w:rsid w:val="00755B68"/>
    <w:rsid w:val="00764B31"/>
    <w:rsid w:val="007A3DCC"/>
    <w:rsid w:val="007B5EB1"/>
    <w:rsid w:val="007B6D8A"/>
    <w:rsid w:val="007E77E5"/>
    <w:rsid w:val="008079FA"/>
    <w:rsid w:val="00813C84"/>
    <w:rsid w:val="008155B7"/>
    <w:rsid w:val="00817009"/>
    <w:rsid w:val="00817CB8"/>
    <w:rsid w:val="008533CE"/>
    <w:rsid w:val="00853434"/>
    <w:rsid w:val="008663A1"/>
    <w:rsid w:val="00877E77"/>
    <w:rsid w:val="00886CD0"/>
    <w:rsid w:val="008D2C41"/>
    <w:rsid w:val="008D63DF"/>
    <w:rsid w:val="008E60C3"/>
    <w:rsid w:val="008F19A3"/>
    <w:rsid w:val="00930E15"/>
    <w:rsid w:val="009455C6"/>
    <w:rsid w:val="009505E6"/>
    <w:rsid w:val="009549BE"/>
    <w:rsid w:val="009617FA"/>
    <w:rsid w:val="00965371"/>
    <w:rsid w:val="009755A1"/>
    <w:rsid w:val="009806D0"/>
    <w:rsid w:val="00985B2F"/>
    <w:rsid w:val="0099696A"/>
    <w:rsid w:val="009A3D2E"/>
    <w:rsid w:val="009D6C97"/>
    <w:rsid w:val="009F02DA"/>
    <w:rsid w:val="00A21650"/>
    <w:rsid w:val="00A47317"/>
    <w:rsid w:val="00A61F30"/>
    <w:rsid w:val="00A64A69"/>
    <w:rsid w:val="00A751E7"/>
    <w:rsid w:val="00A902B3"/>
    <w:rsid w:val="00AB29A0"/>
    <w:rsid w:val="00AE6E02"/>
    <w:rsid w:val="00AF1BFD"/>
    <w:rsid w:val="00B01E5A"/>
    <w:rsid w:val="00B02364"/>
    <w:rsid w:val="00B029D1"/>
    <w:rsid w:val="00B101B7"/>
    <w:rsid w:val="00B11BA2"/>
    <w:rsid w:val="00B2753B"/>
    <w:rsid w:val="00B3002B"/>
    <w:rsid w:val="00B3273D"/>
    <w:rsid w:val="00B6277E"/>
    <w:rsid w:val="00B70397"/>
    <w:rsid w:val="00B76AA2"/>
    <w:rsid w:val="00B92222"/>
    <w:rsid w:val="00B93339"/>
    <w:rsid w:val="00BB0614"/>
    <w:rsid w:val="00BC27C0"/>
    <w:rsid w:val="00BD688B"/>
    <w:rsid w:val="00C03BA9"/>
    <w:rsid w:val="00C07435"/>
    <w:rsid w:val="00C078E4"/>
    <w:rsid w:val="00C2248E"/>
    <w:rsid w:val="00C226DB"/>
    <w:rsid w:val="00C345EC"/>
    <w:rsid w:val="00C43D4C"/>
    <w:rsid w:val="00C45425"/>
    <w:rsid w:val="00C50EA2"/>
    <w:rsid w:val="00C57580"/>
    <w:rsid w:val="00C6259D"/>
    <w:rsid w:val="00C64D71"/>
    <w:rsid w:val="00C92D7D"/>
    <w:rsid w:val="00CA1879"/>
    <w:rsid w:val="00CA3235"/>
    <w:rsid w:val="00CA6FC0"/>
    <w:rsid w:val="00CB0BCD"/>
    <w:rsid w:val="00CC0CBF"/>
    <w:rsid w:val="00CD2491"/>
    <w:rsid w:val="00D1129D"/>
    <w:rsid w:val="00D12AFF"/>
    <w:rsid w:val="00D23662"/>
    <w:rsid w:val="00D30336"/>
    <w:rsid w:val="00D34D21"/>
    <w:rsid w:val="00D473F7"/>
    <w:rsid w:val="00DA1FA2"/>
    <w:rsid w:val="00DB45A2"/>
    <w:rsid w:val="00DB67EF"/>
    <w:rsid w:val="00DC0590"/>
    <w:rsid w:val="00DC5449"/>
    <w:rsid w:val="00DD2D1D"/>
    <w:rsid w:val="00DF4C8A"/>
    <w:rsid w:val="00E107FA"/>
    <w:rsid w:val="00E27421"/>
    <w:rsid w:val="00E575BD"/>
    <w:rsid w:val="00E808F2"/>
    <w:rsid w:val="00E853A1"/>
    <w:rsid w:val="00E87D07"/>
    <w:rsid w:val="00EB50CA"/>
    <w:rsid w:val="00ED0717"/>
    <w:rsid w:val="00EE1047"/>
    <w:rsid w:val="00EE13A6"/>
    <w:rsid w:val="00EE7E30"/>
    <w:rsid w:val="00F16E6F"/>
    <w:rsid w:val="00F17E45"/>
    <w:rsid w:val="00F21B48"/>
    <w:rsid w:val="00F26542"/>
    <w:rsid w:val="00F42D73"/>
    <w:rsid w:val="00F85F5B"/>
    <w:rsid w:val="00F905A2"/>
    <w:rsid w:val="00FB58BC"/>
    <w:rsid w:val="00FC3CF3"/>
    <w:rsid w:val="00FF1C5C"/>
    <w:rsid w:val="00FF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E8E877-E46F-48E2-B6A7-95AB8BAB5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D3452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6D345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4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4029"/>
  </w:style>
  <w:style w:type="paragraph" w:styleId="a7">
    <w:name w:val="footer"/>
    <w:basedOn w:val="a"/>
    <w:link w:val="a8"/>
    <w:uiPriority w:val="99"/>
    <w:unhideWhenUsed/>
    <w:rsid w:val="00604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4029"/>
  </w:style>
  <w:style w:type="paragraph" w:styleId="a9">
    <w:name w:val="footnote text"/>
    <w:basedOn w:val="a"/>
    <w:link w:val="aa"/>
    <w:uiPriority w:val="99"/>
    <w:semiHidden/>
    <w:unhideWhenUsed/>
    <w:rsid w:val="0012075C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2075C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12075C"/>
    <w:rPr>
      <w:vertAlign w:val="superscript"/>
    </w:rPr>
  </w:style>
  <w:style w:type="character" w:styleId="ac">
    <w:name w:val="Placeholder Text"/>
    <w:basedOn w:val="a0"/>
    <w:uiPriority w:val="99"/>
    <w:semiHidden/>
    <w:rsid w:val="00B3002B"/>
    <w:rPr>
      <w:color w:val="808080"/>
    </w:rPr>
  </w:style>
  <w:style w:type="character" w:customStyle="1" w:styleId="authors">
    <w:name w:val="authors"/>
    <w:basedOn w:val="a0"/>
    <w:rsid w:val="00886CD0"/>
  </w:style>
  <w:style w:type="character" w:customStyle="1" w:styleId="1">
    <w:name w:val="Дата1"/>
    <w:basedOn w:val="a0"/>
    <w:rsid w:val="00886CD0"/>
  </w:style>
  <w:style w:type="character" w:customStyle="1" w:styleId="arttitle">
    <w:name w:val="art_title"/>
    <w:basedOn w:val="a0"/>
    <w:rsid w:val="00886CD0"/>
  </w:style>
  <w:style w:type="character" w:customStyle="1" w:styleId="serialtitle">
    <w:name w:val="serial_title"/>
    <w:basedOn w:val="a0"/>
    <w:rsid w:val="00886CD0"/>
  </w:style>
  <w:style w:type="character" w:customStyle="1" w:styleId="volumeissue">
    <w:name w:val="volume_issue"/>
    <w:basedOn w:val="a0"/>
    <w:rsid w:val="00886CD0"/>
  </w:style>
  <w:style w:type="character" w:customStyle="1" w:styleId="pagerange">
    <w:name w:val="page_range"/>
    <w:basedOn w:val="a0"/>
    <w:rsid w:val="00886CD0"/>
  </w:style>
  <w:style w:type="character" w:customStyle="1" w:styleId="doilink">
    <w:name w:val="doi_link"/>
    <w:basedOn w:val="a0"/>
    <w:rsid w:val="00886CD0"/>
  </w:style>
  <w:style w:type="paragraph" w:styleId="ad">
    <w:name w:val="Balloon Text"/>
    <w:basedOn w:val="a"/>
    <w:link w:val="ae"/>
    <w:uiPriority w:val="99"/>
    <w:semiHidden/>
    <w:unhideWhenUsed/>
    <w:rsid w:val="00383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83B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0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8DF42-F35C-4585-9587-178910DD1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1763</Words>
  <Characters>10051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Неволин Иван</dc:creator>
  <cp:keywords/>
  <dc:description/>
  <cp:lastModifiedBy>Воронова Полина Александровна</cp:lastModifiedBy>
  <cp:revision>2</cp:revision>
  <dcterms:created xsi:type="dcterms:W3CDTF">2020-10-03T11:33:00Z</dcterms:created>
  <dcterms:modified xsi:type="dcterms:W3CDTF">2020-10-03T11:33:00Z</dcterms:modified>
</cp:coreProperties>
</file>